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6FF7D8"/>
    <w:p w14:paraId="3F83D842"/>
    <w:p w14:paraId="400C3E0F"/>
    <w:p w14:paraId="30B5A1D6"/>
    <w:p w14:paraId="430E6728"/>
    <w:p w14:paraId="1A985043"/>
    <w:p w14:paraId="604BCEF0"/>
    <w:p w14:paraId="025BA756"/>
    <w:p w14:paraId="112F3BBA"/>
    <w:p w14:paraId="5C130BDD"/>
    <w:p w14:paraId="2A87ACD5"/>
    <w:p w14:paraId="31FE3215"/>
    <w:p w14:paraId="7FD42D23"/>
    <w:p w14:paraId="09D48BEF">
      <w:pPr>
        <w:jc w:val="center"/>
        <w:rPr>
          <w:rFonts w:ascii="方正小标宋简体" w:hAnsi="Times New Roman" w:eastAsia="方正小标宋简体" w:cs="Times New Roman"/>
          <w:b/>
          <w:bCs/>
          <w:sz w:val="48"/>
          <w:szCs w:val="48"/>
        </w:rPr>
      </w:pPr>
      <w:r>
        <w:rPr>
          <w:rFonts w:hint="eastAsia" w:ascii="方正小标宋简体" w:hAnsi="Times New Roman" w:eastAsia="方正小标宋简体" w:cs="Times New Roman"/>
          <w:b/>
          <w:bCs/>
          <w:sz w:val="48"/>
          <w:szCs w:val="48"/>
        </w:rPr>
        <w:t>团</w:t>
      </w:r>
      <w:r>
        <w:rPr>
          <w:rFonts w:hint="eastAsia" w:ascii="方正小标宋简体" w:hAnsi="Times New Roman" w:eastAsia="方正小标宋简体" w:cs="Times New Roman"/>
          <w:b/>
          <w:bCs/>
          <w:sz w:val="48"/>
          <w:szCs w:val="48"/>
          <w:lang w:val="en-US" w:eastAsia="zh-CN"/>
        </w:rPr>
        <w:t xml:space="preserve"> </w:t>
      </w:r>
      <w:r>
        <w:rPr>
          <w:rFonts w:hint="eastAsia" w:ascii="方正小标宋简体" w:hAnsi="Times New Roman" w:eastAsia="方正小标宋简体" w:cs="Times New Roman"/>
          <w:b/>
          <w:bCs/>
          <w:sz w:val="48"/>
          <w:szCs w:val="48"/>
        </w:rPr>
        <w:t>体</w:t>
      </w:r>
      <w:r>
        <w:rPr>
          <w:rFonts w:hint="eastAsia" w:ascii="方正小标宋简体" w:hAnsi="Times New Roman" w:eastAsia="方正小标宋简体" w:cs="Times New Roman"/>
          <w:b/>
          <w:bCs/>
          <w:sz w:val="48"/>
          <w:szCs w:val="48"/>
          <w:lang w:val="en-US" w:eastAsia="zh-CN"/>
        </w:rPr>
        <w:t xml:space="preserve"> </w:t>
      </w:r>
      <w:r>
        <w:rPr>
          <w:rFonts w:hint="eastAsia" w:ascii="方正小标宋简体" w:hAnsi="Times New Roman" w:eastAsia="方正小标宋简体" w:cs="Times New Roman"/>
          <w:b/>
          <w:bCs/>
          <w:sz w:val="48"/>
          <w:szCs w:val="48"/>
        </w:rPr>
        <w:t>标</w:t>
      </w:r>
      <w:r>
        <w:rPr>
          <w:rFonts w:hint="eastAsia" w:ascii="方正小标宋简体" w:hAnsi="Times New Roman" w:eastAsia="方正小标宋简体" w:cs="Times New Roman"/>
          <w:b/>
          <w:bCs/>
          <w:sz w:val="48"/>
          <w:szCs w:val="48"/>
          <w:lang w:val="en-US" w:eastAsia="zh-CN"/>
        </w:rPr>
        <w:t xml:space="preserve"> </w:t>
      </w:r>
      <w:r>
        <w:rPr>
          <w:rFonts w:hint="eastAsia" w:ascii="方正小标宋简体" w:hAnsi="Times New Roman" w:eastAsia="方正小标宋简体" w:cs="Times New Roman"/>
          <w:b/>
          <w:bCs/>
          <w:sz w:val="48"/>
          <w:szCs w:val="48"/>
        </w:rPr>
        <w:t>准</w:t>
      </w:r>
    </w:p>
    <w:p w14:paraId="1F334C00">
      <w:pPr>
        <w:jc w:val="center"/>
        <w:rPr>
          <w:rFonts w:hint="eastAsia" w:ascii="方正小标宋简体" w:hAnsi="Times New Roman" w:eastAsia="方正小标宋简体" w:cs="Times New Roman"/>
          <w:b/>
          <w:bCs/>
          <w:sz w:val="44"/>
          <w:szCs w:val="44"/>
        </w:rPr>
      </w:pPr>
      <w:r>
        <w:rPr>
          <w:rFonts w:hint="eastAsia" w:ascii="方正小标宋简体" w:hAnsi="Times New Roman" w:eastAsia="方正小标宋简体" w:cs="Times New Roman"/>
          <w:b/>
          <w:bCs/>
          <w:sz w:val="44"/>
          <w:szCs w:val="44"/>
        </w:rPr>
        <w:t>《临床研究项目基本数据集》</w:t>
      </w:r>
    </w:p>
    <w:p w14:paraId="54C445EE">
      <w:pPr>
        <w:jc w:val="center"/>
        <w:rPr>
          <w:rFonts w:hint="eastAsia" w:ascii="方正小标宋简体" w:hAnsi="Times New Roman" w:eastAsia="方正小标宋简体" w:cs="Times New Roman"/>
          <w:b/>
          <w:bCs/>
          <w:sz w:val="44"/>
          <w:szCs w:val="44"/>
        </w:rPr>
      </w:pPr>
      <w:r>
        <w:rPr>
          <w:rFonts w:hint="eastAsia" w:ascii="方正小标宋简体" w:hAnsi="Times New Roman" w:eastAsia="方正小标宋简体" w:cs="Times New Roman"/>
          <w:b/>
          <w:bCs/>
          <w:sz w:val="44"/>
          <w:szCs w:val="44"/>
        </w:rPr>
        <w:t>（征求意见稿）</w:t>
      </w:r>
    </w:p>
    <w:p w14:paraId="3A08F8D0">
      <w:pPr>
        <w:jc w:val="center"/>
        <w:rPr>
          <w:rFonts w:ascii="方正小标宋简体" w:hAnsi="Times New Roman" w:eastAsia="方正小标宋简体" w:cs="Times New Roman"/>
          <w:b/>
          <w:bCs/>
          <w:sz w:val="44"/>
          <w:szCs w:val="44"/>
        </w:rPr>
      </w:pPr>
      <w:r>
        <w:rPr>
          <w:rFonts w:hint="eastAsia" w:ascii="方正小标宋简体" w:hAnsi="Times New Roman" w:eastAsia="方正小标宋简体" w:cs="Times New Roman"/>
          <w:b/>
          <w:bCs/>
          <w:sz w:val="44"/>
          <w:szCs w:val="44"/>
        </w:rPr>
        <w:t>编制说明</w:t>
      </w:r>
    </w:p>
    <w:p w14:paraId="053E04C1">
      <w:pPr>
        <w:jc w:val="center"/>
        <w:rPr>
          <w:rFonts w:ascii="方正小标宋简体" w:hAnsi="Times New Roman" w:eastAsia="方正小标宋简体" w:cs="Times New Roman"/>
          <w:b/>
          <w:bCs/>
          <w:sz w:val="44"/>
          <w:szCs w:val="44"/>
        </w:rPr>
      </w:pPr>
    </w:p>
    <w:p w14:paraId="374914A4">
      <w:pPr>
        <w:jc w:val="center"/>
        <w:rPr>
          <w:rFonts w:ascii="方正小标宋简体" w:hAnsi="Times New Roman" w:eastAsia="方正小标宋简体" w:cs="Times New Roman"/>
          <w:b/>
          <w:bCs/>
          <w:sz w:val="44"/>
          <w:szCs w:val="44"/>
        </w:rPr>
      </w:pPr>
    </w:p>
    <w:p w14:paraId="09A997B8">
      <w:pPr>
        <w:jc w:val="center"/>
        <w:rPr>
          <w:rFonts w:ascii="方正小标宋简体" w:hAnsi="Times New Roman" w:eastAsia="方正小标宋简体" w:cs="Times New Roman"/>
          <w:b/>
          <w:bCs/>
          <w:sz w:val="44"/>
          <w:szCs w:val="44"/>
        </w:rPr>
      </w:pPr>
    </w:p>
    <w:p w14:paraId="4A2E33E7">
      <w:pPr>
        <w:jc w:val="center"/>
        <w:rPr>
          <w:rFonts w:ascii="方正小标宋简体" w:hAnsi="Times New Roman" w:eastAsia="方正小标宋简体" w:cs="Times New Roman"/>
          <w:b/>
          <w:bCs/>
          <w:sz w:val="44"/>
          <w:szCs w:val="44"/>
        </w:rPr>
      </w:pPr>
    </w:p>
    <w:p w14:paraId="6989F863"/>
    <w:p w14:paraId="6D0AD524">
      <w:pPr>
        <w:jc w:val="center"/>
        <w:rPr>
          <w:rFonts w:ascii="楷体" w:hAnsi="楷体" w:eastAsia="楷体" w:cs="Times New Roman"/>
          <w:b/>
          <w:bCs/>
          <w:color w:val="000000"/>
          <w:sz w:val="30"/>
          <w:szCs w:val="30"/>
        </w:rPr>
      </w:pPr>
      <w:r>
        <w:rPr>
          <w:rFonts w:hint="eastAsia" w:ascii="楷体" w:hAnsi="楷体" w:eastAsia="楷体" w:cs="Times New Roman"/>
          <w:b/>
          <w:bCs/>
          <w:color w:val="000000"/>
          <w:sz w:val="30"/>
          <w:szCs w:val="30"/>
        </w:rPr>
        <w:t>广东省卫生健康委员会事务中心</w:t>
      </w:r>
    </w:p>
    <w:p w14:paraId="539FA47D">
      <w:pPr>
        <w:jc w:val="center"/>
        <w:rPr>
          <w:rFonts w:ascii="楷体" w:hAnsi="楷体" w:eastAsia="楷体" w:cs="Times New Roman"/>
          <w:b/>
          <w:bCs/>
          <w:color w:val="000000"/>
          <w:sz w:val="30"/>
          <w:szCs w:val="30"/>
        </w:rPr>
      </w:pPr>
      <w:r>
        <w:rPr>
          <w:rFonts w:hint="eastAsia" w:ascii="楷体" w:hAnsi="楷体" w:eastAsia="楷体" w:cs="Times New Roman"/>
          <w:b/>
          <w:bCs/>
          <w:color w:val="000000"/>
          <w:sz w:val="30"/>
          <w:szCs w:val="30"/>
        </w:rPr>
        <w:t>202</w:t>
      </w:r>
      <w:r>
        <w:rPr>
          <w:rFonts w:ascii="楷体" w:hAnsi="楷体" w:eastAsia="楷体" w:cs="Times New Roman"/>
          <w:b/>
          <w:bCs/>
          <w:color w:val="000000"/>
          <w:sz w:val="30"/>
          <w:szCs w:val="30"/>
        </w:rPr>
        <w:t>6</w:t>
      </w:r>
      <w:r>
        <w:rPr>
          <w:rFonts w:hint="eastAsia" w:ascii="楷体" w:hAnsi="楷体" w:eastAsia="楷体" w:cs="Times New Roman"/>
          <w:b/>
          <w:bCs/>
          <w:color w:val="000000"/>
          <w:sz w:val="30"/>
          <w:szCs w:val="30"/>
        </w:rPr>
        <w:t>年</w:t>
      </w:r>
      <w:r>
        <w:rPr>
          <w:rFonts w:ascii="楷体" w:hAnsi="楷体" w:eastAsia="楷体" w:cs="Times New Roman"/>
          <w:b/>
          <w:bCs/>
          <w:color w:val="000000"/>
          <w:sz w:val="30"/>
          <w:szCs w:val="30"/>
        </w:rPr>
        <w:t>6</w:t>
      </w:r>
      <w:r>
        <w:rPr>
          <w:rFonts w:hint="eastAsia" w:ascii="楷体" w:hAnsi="楷体" w:eastAsia="楷体" w:cs="Times New Roman"/>
          <w:b/>
          <w:bCs/>
          <w:color w:val="000000"/>
          <w:sz w:val="30"/>
          <w:szCs w:val="30"/>
        </w:rPr>
        <w:t>月</w:t>
      </w:r>
    </w:p>
    <w:p w14:paraId="4FFA4ED3">
      <w:pPr>
        <w:rPr>
          <w:rFonts w:ascii="楷体" w:hAnsi="楷体" w:eastAsia="楷体" w:cs="Times New Roman"/>
          <w:b/>
          <w:bCs/>
          <w:color w:val="000000"/>
          <w:sz w:val="30"/>
          <w:szCs w:val="30"/>
        </w:rPr>
        <w:sectPr>
          <w:footerReference r:id="rId4" w:type="first"/>
          <w:footerReference r:id="rId3" w:type="default"/>
          <w:pgSz w:w="11906" w:h="16838"/>
          <w:pgMar w:top="1440" w:right="1800" w:bottom="1440" w:left="1800" w:header="851" w:footer="992" w:gutter="0"/>
          <w:cols w:space="425" w:num="1"/>
          <w:titlePg/>
          <w:docGrid w:type="lines" w:linePitch="312" w:charSpace="0"/>
        </w:sectPr>
      </w:pPr>
    </w:p>
    <w:p w14:paraId="3B125C70">
      <w:pPr>
        <w:pageBreakBefore w:val="0"/>
        <w:kinsoku/>
        <w:wordWrap/>
        <w:overflowPunct/>
        <w:topLinePunct w:val="0"/>
        <w:autoSpaceDE/>
        <w:autoSpaceDN/>
        <w:bidi w:val="0"/>
        <w:adjustRightInd w:val="0"/>
        <w:snapToGrid w:val="0"/>
        <w:spacing w:line="520" w:lineRule="exact"/>
        <w:jc w:val="center"/>
        <w:textAlignment w:val="auto"/>
        <w:rPr>
          <w:rFonts w:hint="eastAsia" w:ascii="方正小标宋简体" w:hAnsi="Times New Roman" w:eastAsia="方正小标宋简体" w:cs="Times New Roman"/>
          <w:b w:val="0"/>
          <w:bCs/>
          <w:sz w:val="36"/>
          <w:szCs w:val="36"/>
        </w:rPr>
      </w:pPr>
      <w:r>
        <w:rPr>
          <w:rFonts w:hint="eastAsia" w:ascii="方正小标宋简体" w:hAnsi="Times New Roman" w:eastAsia="方正小标宋简体" w:cs="Times New Roman"/>
          <w:b w:val="0"/>
          <w:bCs/>
          <w:sz w:val="36"/>
          <w:szCs w:val="36"/>
        </w:rPr>
        <w:t>团体标准《临床研究项目基本数据集》（征求意见稿）</w:t>
      </w:r>
    </w:p>
    <w:p w14:paraId="491B0F8F">
      <w:pPr>
        <w:pageBreakBefore w:val="0"/>
        <w:kinsoku/>
        <w:wordWrap/>
        <w:overflowPunct/>
        <w:topLinePunct w:val="0"/>
        <w:autoSpaceDE/>
        <w:autoSpaceDN/>
        <w:bidi w:val="0"/>
        <w:adjustRightInd w:val="0"/>
        <w:snapToGrid w:val="0"/>
        <w:spacing w:line="520" w:lineRule="exact"/>
        <w:jc w:val="center"/>
        <w:textAlignment w:val="auto"/>
        <w:rPr>
          <w:rFonts w:ascii="方正小标宋简体" w:hAnsi="Times New Roman" w:eastAsia="方正小标宋简体" w:cs="Times New Roman"/>
          <w:b w:val="0"/>
          <w:bCs/>
          <w:sz w:val="36"/>
          <w:szCs w:val="36"/>
        </w:rPr>
      </w:pPr>
      <w:r>
        <w:rPr>
          <w:rFonts w:hint="eastAsia" w:ascii="方正小标宋简体" w:hAnsi="Times New Roman" w:eastAsia="方正小标宋简体" w:cs="Times New Roman"/>
          <w:b w:val="0"/>
          <w:bCs/>
          <w:sz w:val="36"/>
          <w:szCs w:val="36"/>
        </w:rPr>
        <w:t>编制说明</w:t>
      </w:r>
    </w:p>
    <w:p w14:paraId="2E30BC10">
      <w:pPr>
        <w:pageBreakBefore w:val="0"/>
        <w:kinsoku/>
        <w:wordWrap/>
        <w:overflowPunct/>
        <w:topLinePunct w:val="0"/>
        <w:autoSpaceDE/>
        <w:autoSpaceDN/>
        <w:bidi w:val="0"/>
        <w:adjustRightInd w:val="0"/>
        <w:snapToGrid w:val="0"/>
        <w:spacing w:line="520" w:lineRule="exact"/>
        <w:jc w:val="center"/>
        <w:textAlignment w:val="auto"/>
        <w:rPr>
          <w:rFonts w:ascii="方正小标宋简体" w:hAnsi="Times New Roman" w:eastAsia="方正小标宋简体" w:cs="Times New Roman"/>
          <w:b/>
          <w:sz w:val="32"/>
          <w:szCs w:val="32"/>
        </w:rPr>
      </w:pPr>
    </w:p>
    <w:p w14:paraId="1EAB86DC">
      <w:pPr>
        <w:pageBreakBefore w:val="0"/>
        <w:kinsoku/>
        <w:wordWrap/>
        <w:overflowPunct/>
        <w:topLinePunct w:val="0"/>
        <w:autoSpaceDE/>
        <w:autoSpaceDN/>
        <w:bidi w:val="0"/>
        <w:adjustRightInd w:val="0"/>
        <w:snapToGrid w:val="0"/>
        <w:spacing w:before="156" w:beforeLines="50" w:after="156" w:afterLines="50" w:line="520" w:lineRule="exact"/>
        <w:textAlignment w:val="auto"/>
        <w:rPr>
          <w:rFonts w:ascii="黑体" w:hAnsi="黑体" w:eastAsia="黑体" w:cs="Times New Roman"/>
          <w:b/>
          <w:sz w:val="28"/>
          <w:szCs w:val="28"/>
        </w:rPr>
      </w:pPr>
      <w:r>
        <w:rPr>
          <w:rFonts w:hint="eastAsia" w:ascii="黑体" w:hAnsi="黑体" w:eastAsia="黑体" w:cs="Times New Roman"/>
          <w:b/>
          <w:sz w:val="28"/>
          <w:szCs w:val="28"/>
        </w:rPr>
        <w:t>一、项目背景和必要性</w:t>
      </w:r>
    </w:p>
    <w:p w14:paraId="37B1AA7D">
      <w:pPr>
        <w:pageBreakBefore w:val="0"/>
        <w:kinsoku/>
        <w:wordWrap/>
        <w:overflowPunct/>
        <w:topLinePunct w:val="0"/>
        <w:autoSpaceDE/>
        <w:autoSpaceDN/>
        <w:bidi w:val="0"/>
        <w:adjustRightInd w:val="0"/>
        <w:snapToGrid w:val="0"/>
        <w:spacing w:before="156" w:beforeLines="50" w:after="156" w:afterLines="50" w:line="520" w:lineRule="exact"/>
        <w:ind w:firstLine="560" w:firstLineChars="200"/>
        <w:textAlignment w:val="auto"/>
        <w:rPr>
          <w:rFonts w:ascii="仿宋_GB2312" w:hAnsi="Times New Roman" w:eastAsia="仿宋_GB2312" w:cs="Times New Roman"/>
          <w:sz w:val="28"/>
          <w:szCs w:val="28"/>
        </w:rPr>
      </w:pPr>
      <w:r>
        <w:rPr>
          <w:rFonts w:hint="eastAsia" w:ascii="仿宋_GB2312" w:hAnsi="Times New Roman" w:eastAsia="仿宋_GB2312" w:cs="Times New Roman"/>
          <w:sz w:val="28"/>
          <w:szCs w:val="28"/>
        </w:rPr>
        <w:t>临床研究是医药创新、疾病防治、循证医学发展的核心支撑载体，临床研究数据是开展真实世界研究、新药/器械评价、公共卫生决策、医学证据产出的核心战略资源。随着国家持续推进健康医疗大数据治理、临床研究规范化管理、科研数据互通共享相关工作落地，广东省各类医疗机构、高校、科研院所、CRO 企业广泛开展研究者发起临床研究，但全省临床研究数据长期存在标准缺失、口径不一、字段杂乱、汇交无统一规范等突出问题，形成大量科研数据孤岛，严重制约数据复用、跨机构协作与监管核查效率。</w:t>
      </w:r>
    </w:p>
    <w:p w14:paraId="35E655D4">
      <w:pPr>
        <w:pageBreakBefore w:val="0"/>
        <w:kinsoku/>
        <w:wordWrap/>
        <w:overflowPunct/>
        <w:topLinePunct w:val="0"/>
        <w:autoSpaceDE/>
        <w:autoSpaceDN/>
        <w:bidi w:val="0"/>
        <w:adjustRightInd w:val="0"/>
        <w:snapToGrid w:val="0"/>
        <w:spacing w:before="156" w:beforeLines="50" w:after="156" w:afterLines="50" w:line="520" w:lineRule="exact"/>
        <w:ind w:firstLine="560" w:firstLineChars="200"/>
        <w:textAlignment w:val="auto"/>
        <w:rPr>
          <w:rFonts w:ascii="仿宋_GB2312" w:hAnsi="Times New Roman" w:eastAsia="仿宋_GB2312" w:cs="Times New Roman"/>
          <w:sz w:val="28"/>
          <w:szCs w:val="28"/>
        </w:rPr>
      </w:pPr>
      <w:r>
        <w:rPr>
          <w:rFonts w:hint="eastAsia" w:ascii="仿宋_GB2312" w:hAnsi="Times New Roman" w:eastAsia="仿宋_GB2312" w:cs="Times New Roman"/>
          <w:sz w:val="28"/>
          <w:szCs w:val="28"/>
        </w:rPr>
        <w:t>国家层面先后出台多项顶层文件对临床研究数据标准化提出刚性要求：《“十四五”全民健康信息化规划》明确要求健全临床科研数据标准体系；《医疗卫生机构网络安全管理办法》规范科研数据采集、存储与交换管理；《药物临床试验质量管理规范（GCP）》《医疗器械临床试验质量管理规范》要求完整、结构化留存全流程研究记录。同时，广东省推进医疗卫生机构信息互通共享三年攻坚行动、健康医疗数据安全分类分级体系建设，亟需配套临床研究专用数据集标准，补齐科研数据标准化短板。</w:t>
      </w:r>
    </w:p>
    <w:p w14:paraId="60776661">
      <w:pPr>
        <w:pageBreakBefore w:val="0"/>
        <w:kinsoku/>
        <w:wordWrap/>
        <w:overflowPunct/>
        <w:topLinePunct w:val="0"/>
        <w:autoSpaceDE/>
        <w:autoSpaceDN/>
        <w:bidi w:val="0"/>
        <w:adjustRightInd w:val="0"/>
        <w:snapToGrid w:val="0"/>
        <w:spacing w:before="156" w:beforeLines="50" w:after="156" w:afterLines="50" w:line="520" w:lineRule="exact"/>
        <w:ind w:firstLine="560" w:firstLineChars="200"/>
        <w:textAlignment w:val="auto"/>
        <w:rPr>
          <w:rFonts w:ascii="仿宋_GB2312" w:hAnsi="Times New Roman" w:eastAsia="仿宋_GB2312" w:cs="Times New Roman"/>
          <w:sz w:val="28"/>
          <w:szCs w:val="28"/>
        </w:rPr>
      </w:pPr>
      <w:r>
        <w:rPr>
          <w:rFonts w:hint="eastAsia" w:ascii="仿宋_GB2312" w:hAnsi="Times New Roman" w:eastAsia="仿宋_GB2312" w:cs="Times New Roman"/>
          <w:sz w:val="28"/>
          <w:szCs w:val="28"/>
        </w:rPr>
        <w:t>当前省内现状存在四大痛点：一是不同医院、不同科室自研临床研究表单字段定义、编码、格式互不兼容，跨中心研究数据合并需大量人工清洗转换；二是伦理审批、立项、实施、不良事件、结题成果全流程无统一数据元规范，监管部门难以线上自动化核查；三是生物样本、受试者知情、随机盲法、方案违背、严重不良事件等关键科研核心信息缺失标准化采集模板；四是临床研究数据共享、成果汇交无统一元数据与值域规则，无法对接省全民健康信息平台、科研管理系统、临床研究数据交换通道。</w:t>
      </w:r>
    </w:p>
    <w:p w14:paraId="103260E3">
      <w:pPr>
        <w:pageBreakBefore w:val="0"/>
        <w:kinsoku/>
        <w:wordWrap/>
        <w:overflowPunct/>
        <w:topLinePunct w:val="0"/>
        <w:autoSpaceDE/>
        <w:autoSpaceDN/>
        <w:bidi w:val="0"/>
        <w:adjustRightInd w:val="0"/>
        <w:snapToGrid w:val="0"/>
        <w:spacing w:before="156" w:beforeLines="50" w:after="156" w:afterLines="50" w:line="520" w:lineRule="exact"/>
        <w:ind w:firstLine="560" w:firstLineChars="200"/>
        <w:textAlignment w:val="auto"/>
        <w:rPr>
          <w:rFonts w:ascii="仿宋_GB2312" w:hAnsi="Times New Roman" w:eastAsia="仿宋_GB2312" w:cs="Times New Roman"/>
          <w:sz w:val="28"/>
          <w:szCs w:val="28"/>
        </w:rPr>
      </w:pPr>
      <w:r>
        <w:rPr>
          <w:rFonts w:hint="eastAsia" w:ascii="仿宋_GB2312" w:hAnsi="Times New Roman" w:eastAsia="仿宋_GB2312" w:cs="Times New Roman"/>
          <w:sz w:val="28"/>
          <w:szCs w:val="28"/>
        </w:rPr>
        <w:t>在此背景下制定《临床研究项目基本数据集》团体标准具备极强现实必要性：一是统一全省临床研究全生命周期数据采集、汇交、存储规范，消</w:t>
      </w:r>
      <w:bookmarkStart w:id="0" w:name="_GoBack"/>
      <w:bookmarkEnd w:id="0"/>
      <w:r>
        <w:rPr>
          <w:rFonts w:hint="eastAsia" w:ascii="仿宋_GB2312" w:hAnsi="Times New Roman" w:eastAsia="仿宋_GB2312" w:cs="Times New Roman"/>
          <w:sz w:val="28"/>
          <w:szCs w:val="28"/>
        </w:rPr>
        <w:t>除数据孤岛；二是支撑伦理监管、科研质控、卫生行政数字化线上核查；三是规范受试者个人信息、生物样本敏感数据字段，衔接《健康医疗信息 跨网数据交换安全技术要求》等安全标准，兼顾数据价值释放与隐私保护；四是为区域临床研究大数据平台、多中心协同科研系统、科研成果管理信息化建设提供底层数据标准支撑，助力广东省临床研究高质量发展与医药产业创新。</w:t>
      </w:r>
    </w:p>
    <w:p w14:paraId="77BBAB6B">
      <w:pPr>
        <w:pageBreakBefore w:val="0"/>
        <w:kinsoku/>
        <w:wordWrap/>
        <w:overflowPunct/>
        <w:topLinePunct w:val="0"/>
        <w:autoSpaceDE/>
        <w:autoSpaceDN/>
        <w:bidi w:val="0"/>
        <w:adjustRightInd w:val="0"/>
        <w:snapToGrid w:val="0"/>
        <w:spacing w:before="156" w:beforeLines="50" w:after="156" w:afterLines="50" w:line="520" w:lineRule="exact"/>
        <w:textAlignment w:val="auto"/>
        <w:rPr>
          <w:rFonts w:ascii="黑体" w:hAnsi="黑体" w:eastAsia="黑体" w:cs="Times New Roman"/>
          <w:b/>
          <w:sz w:val="28"/>
          <w:szCs w:val="28"/>
        </w:rPr>
      </w:pPr>
      <w:r>
        <w:rPr>
          <w:rFonts w:hint="eastAsia" w:ascii="黑体" w:hAnsi="黑体" w:eastAsia="黑体" w:cs="Times New Roman"/>
          <w:b/>
          <w:sz w:val="28"/>
          <w:szCs w:val="28"/>
        </w:rPr>
        <w:t>二、工作简况</w:t>
      </w:r>
    </w:p>
    <w:p w14:paraId="75AC2898">
      <w:pPr>
        <w:pageBreakBefore w:val="0"/>
        <w:kinsoku/>
        <w:wordWrap/>
        <w:overflowPunct/>
        <w:topLinePunct w:val="0"/>
        <w:autoSpaceDE/>
        <w:autoSpaceDN/>
        <w:bidi w:val="0"/>
        <w:adjustRightInd w:val="0"/>
        <w:snapToGrid w:val="0"/>
        <w:spacing w:line="520" w:lineRule="exact"/>
        <w:ind w:left="1" w:firstLine="562" w:firstLineChars="200"/>
        <w:textAlignment w:val="auto"/>
        <w:rPr>
          <w:rFonts w:ascii="楷体" w:hAnsi="楷体" w:eastAsia="楷体" w:cs="Times New Roman"/>
          <w:b/>
          <w:sz w:val="28"/>
          <w:szCs w:val="28"/>
        </w:rPr>
      </w:pPr>
      <w:r>
        <w:rPr>
          <w:rFonts w:hint="eastAsia" w:ascii="楷体" w:hAnsi="楷体" w:eastAsia="楷体" w:cs="Times New Roman"/>
          <w:b/>
          <w:sz w:val="28"/>
          <w:szCs w:val="28"/>
        </w:rPr>
        <w:t>（一）任务来源</w:t>
      </w:r>
    </w:p>
    <w:p w14:paraId="76624F1A">
      <w:pPr>
        <w:pageBreakBefore w:val="0"/>
        <w:kinsoku/>
        <w:wordWrap/>
        <w:overflowPunct/>
        <w:topLinePunct w:val="0"/>
        <w:autoSpaceDE/>
        <w:autoSpaceDN/>
        <w:bidi w:val="0"/>
        <w:adjustRightInd w:val="0"/>
        <w:snapToGrid w:val="0"/>
        <w:spacing w:line="520" w:lineRule="exact"/>
        <w:ind w:left="1" w:firstLine="560" w:firstLineChars="200"/>
        <w:textAlignment w:val="auto"/>
        <w:rPr>
          <w:rFonts w:ascii="仿宋_GB2312" w:hAnsi="Times New Roman" w:eastAsia="仿宋_GB2312" w:cs="Times New Roman"/>
          <w:sz w:val="28"/>
          <w:szCs w:val="28"/>
        </w:rPr>
      </w:pPr>
      <w:r>
        <w:rPr>
          <w:rFonts w:hint="eastAsia" w:ascii="仿宋_GB2312" w:hAnsi="Times New Roman" w:eastAsia="仿宋_GB2312" w:cs="Times New Roman"/>
          <w:sz w:val="28"/>
          <w:szCs w:val="28"/>
        </w:rPr>
        <w:t>2024年，国家卫健委等多部门联合印发《医疗卫生机构开展研究者发起的临床研究管理办法》，首次明确要求省级卫生健康行政部门必须对辖区内临床研究进行技术核查，并对数据管理提出合规要求。      为落实上述法规，2026年，广东省卫健委依托“广东省临床医学科学数据管理平台”，正式启动临床研究管理模块建设，实现对全省临研项目信息数据的统一采集与监管。</w:t>
      </w:r>
    </w:p>
    <w:p w14:paraId="689E51D1">
      <w:pPr>
        <w:pageBreakBefore w:val="0"/>
        <w:kinsoku/>
        <w:wordWrap/>
        <w:overflowPunct/>
        <w:topLinePunct w:val="0"/>
        <w:autoSpaceDE/>
        <w:autoSpaceDN/>
        <w:bidi w:val="0"/>
        <w:adjustRightInd w:val="0"/>
        <w:snapToGrid w:val="0"/>
        <w:spacing w:line="520" w:lineRule="exact"/>
        <w:ind w:left="1" w:firstLine="560" w:firstLineChars="200"/>
        <w:textAlignment w:val="auto"/>
      </w:pPr>
      <w:r>
        <w:rPr>
          <w:rFonts w:hint="eastAsia" w:ascii="仿宋_GB2312" w:hAnsi="Times New Roman" w:eastAsia="仿宋_GB2312" w:cs="Times New Roman"/>
          <w:sz w:val="28"/>
          <w:szCs w:val="28"/>
        </w:rPr>
        <w:t>然而，数据采集的前提是标准统一。受省卫健委委托，由省事务中心牵头，南方医科大学珠江医院、中山大学附属口腔医院、中山大学附属第一医院、广东省人民医院、广东省妇幼保健院、佛山市第一人民医院、中山大学附属第六医院、东莞市第六人民医院、暨南大学附属顺德医院、健康数据（北京）科技有限公司、广东省卫生经济学会等单位共同起草，开展调研、起草、论证、完善工作，2026年3月完成标准草稿，6月2</w:t>
      </w:r>
      <w:r>
        <w:rPr>
          <w:rFonts w:ascii="仿宋_GB2312" w:hAnsi="Times New Roman" w:eastAsia="仿宋_GB2312" w:cs="Times New Roman"/>
          <w:sz w:val="28"/>
          <w:szCs w:val="28"/>
        </w:rPr>
        <w:t>2</w:t>
      </w:r>
      <w:r>
        <w:rPr>
          <w:rFonts w:hint="eastAsia" w:ascii="仿宋_GB2312" w:hAnsi="Times New Roman" w:eastAsia="仿宋_GB2312" w:cs="Times New Roman"/>
          <w:sz w:val="28"/>
          <w:szCs w:val="28"/>
        </w:rPr>
        <w:t>日完成征求意见稿。</w:t>
      </w:r>
    </w:p>
    <w:p w14:paraId="1CB5AFD8">
      <w:pPr>
        <w:pageBreakBefore w:val="0"/>
        <w:kinsoku/>
        <w:wordWrap/>
        <w:overflowPunct/>
        <w:topLinePunct w:val="0"/>
        <w:autoSpaceDE/>
        <w:autoSpaceDN/>
        <w:bidi w:val="0"/>
        <w:adjustRightInd w:val="0"/>
        <w:snapToGrid w:val="0"/>
        <w:spacing w:line="520" w:lineRule="exact"/>
        <w:ind w:left="1" w:firstLine="562" w:firstLineChars="200"/>
        <w:textAlignment w:val="auto"/>
        <w:rPr>
          <w:rFonts w:ascii="楷体" w:hAnsi="楷体" w:eastAsia="楷体" w:cs="Times New Roman"/>
          <w:b/>
          <w:sz w:val="28"/>
          <w:szCs w:val="28"/>
        </w:rPr>
      </w:pPr>
      <w:r>
        <w:rPr>
          <w:rFonts w:hint="eastAsia" w:ascii="楷体" w:hAnsi="楷体" w:eastAsia="楷体" w:cs="Times New Roman"/>
          <w:b/>
          <w:sz w:val="28"/>
          <w:szCs w:val="28"/>
        </w:rPr>
        <w:t>（二）项目主要工作过程</w:t>
      </w:r>
    </w:p>
    <w:p w14:paraId="0127C10C">
      <w:pPr>
        <w:pageBreakBefore w:val="0"/>
        <w:kinsoku/>
        <w:wordWrap/>
        <w:overflowPunct/>
        <w:topLinePunct w:val="0"/>
        <w:autoSpaceDE/>
        <w:autoSpaceDN/>
        <w:bidi w:val="0"/>
        <w:adjustRightInd w:val="0"/>
        <w:snapToGrid w:val="0"/>
        <w:spacing w:line="520" w:lineRule="exact"/>
        <w:ind w:left="1" w:firstLine="562" w:firstLineChars="200"/>
        <w:textAlignment w:val="auto"/>
        <w:rPr>
          <w:rFonts w:ascii="仿宋_GB2312" w:hAnsi="Times New Roman" w:eastAsia="仿宋_GB2312" w:cs="Times New Roman"/>
          <w:b/>
          <w:sz w:val="28"/>
          <w:szCs w:val="28"/>
        </w:rPr>
      </w:pPr>
      <w:r>
        <w:rPr>
          <w:rFonts w:hint="eastAsia" w:ascii="仿宋_GB2312" w:hAnsi="Times New Roman" w:eastAsia="仿宋_GB2312" w:cs="Times New Roman"/>
          <w:b/>
          <w:sz w:val="28"/>
          <w:szCs w:val="28"/>
        </w:rPr>
        <w:t>1.标准草案形成阶段</w:t>
      </w:r>
    </w:p>
    <w:p w14:paraId="6D259916">
      <w:pPr>
        <w:pageBreakBefore w:val="0"/>
        <w:kinsoku/>
        <w:wordWrap/>
        <w:overflowPunct/>
        <w:topLinePunct w:val="0"/>
        <w:autoSpaceDE/>
        <w:autoSpaceDN/>
        <w:bidi w:val="0"/>
        <w:adjustRightInd w:val="0"/>
        <w:snapToGrid w:val="0"/>
        <w:spacing w:line="520" w:lineRule="exact"/>
        <w:ind w:firstLine="560" w:firstLineChars="200"/>
        <w:textAlignment w:val="auto"/>
        <w:rPr>
          <w:rFonts w:ascii="仿宋_GB2312" w:hAnsi="Times New Roman" w:eastAsia="仿宋_GB2312" w:cs="Times New Roman"/>
          <w:sz w:val="28"/>
          <w:szCs w:val="28"/>
        </w:rPr>
      </w:pPr>
      <w:r>
        <w:rPr>
          <w:rFonts w:hint="eastAsia" w:ascii="仿宋_GB2312" w:hAnsi="Times New Roman" w:eastAsia="仿宋_GB2312" w:cs="Times New Roman"/>
          <w:sz w:val="28"/>
          <w:szCs w:val="28"/>
        </w:rPr>
        <w:t>20</w:t>
      </w:r>
      <w:r>
        <w:rPr>
          <w:rFonts w:ascii="仿宋_GB2312" w:hAnsi="Times New Roman" w:eastAsia="仿宋_GB2312" w:cs="Times New Roman"/>
          <w:sz w:val="28"/>
          <w:szCs w:val="28"/>
        </w:rPr>
        <w:t>26</w:t>
      </w:r>
      <w:r>
        <w:rPr>
          <w:rFonts w:hint="eastAsia" w:ascii="仿宋_GB2312" w:hAnsi="Times New Roman" w:eastAsia="仿宋_GB2312" w:cs="Times New Roman"/>
          <w:sz w:val="28"/>
          <w:szCs w:val="28"/>
        </w:rPr>
        <w:t>年</w:t>
      </w:r>
      <w:r>
        <w:rPr>
          <w:rFonts w:ascii="仿宋_GB2312" w:hAnsi="Times New Roman" w:eastAsia="仿宋_GB2312" w:cs="Times New Roman"/>
          <w:sz w:val="28"/>
          <w:szCs w:val="28"/>
        </w:rPr>
        <w:t>2</w:t>
      </w:r>
      <w:r>
        <w:rPr>
          <w:rFonts w:hint="eastAsia" w:ascii="仿宋_GB2312" w:hAnsi="Times New Roman" w:eastAsia="仿宋_GB2312" w:cs="Times New Roman"/>
          <w:sz w:val="28"/>
          <w:szCs w:val="28"/>
        </w:rPr>
        <w:t>月至</w:t>
      </w:r>
      <w:r>
        <w:rPr>
          <w:rFonts w:ascii="仿宋_GB2312" w:hAnsi="Times New Roman" w:eastAsia="仿宋_GB2312" w:cs="Times New Roman"/>
          <w:sz w:val="28"/>
          <w:szCs w:val="28"/>
        </w:rPr>
        <w:t>3</w:t>
      </w:r>
      <w:r>
        <w:rPr>
          <w:rFonts w:hint="eastAsia" w:ascii="仿宋_GB2312" w:hAnsi="Times New Roman" w:eastAsia="仿宋_GB2312" w:cs="Times New Roman"/>
          <w:sz w:val="28"/>
          <w:szCs w:val="28"/>
        </w:rPr>
        <w:t>月，成立标准起草组，明确各方分工，完成标准总体架构设计，完成大纲评审，于202</w:t>
      </w:r>
      <w:r>
        <w:rPr>
          <w:rFonts w:ascii="仿宋_GB2312" w:hAnsi="Times New Roman" w:eastAsia="仿宋_GB2312" w:cs="Times New Roman"/>
          <w:sz w:val="28"/>
          <w:szCs w:val="28"/>
        </w:rPr>
        <w:t>6</w:t>
      </w:r>
      <w:r>
        <w:rPr>
          <w:rFonts w:hint="eastAsia" w:ascii="仿宋_GB2312" w:hAnsi="Times New Roman" w:eastAsia="仿宋_GB2312" w:cs="Times New Roman"/>
          <w:sz w:val="28"/>
          <w:szCs w:val="28"/>
        </w:rPr>
        <w:t>年</w:t>
      </w:r>
      <w:r>
        <w:rPr>
          <w:rFonts w:ascii="仿宋_GB2312" w:hAnsi="Times New Roman" w:eastAsia="仿宋_GB2312" w:cs="Times New Roman"/>
          <w:sz w:val="28"/>
          <w:szCs w:val="28"/>
        </w:rPr>
        <w:t>3</w:t>
      </w:r>
      <w:r>
        <w:rPr>
          <w:rFonts w:hint="eastAsia" w:ascii="仿宋_GB2312" w:hAnsi="Times New Roman" w:eastAsia="仿宋_GB2312" w:cs="Times New Roman"/>
          <w:sz w:val="28"/>
          <w:szCs w:val="28"/>
        </w:rPr>
        <w:t>月形成了标准初稿。</w:t>
      </w:r>
    </w:p>
    <w:p w14:paraId="566ED5E1">
      <w:pPr>
        <w:pageBreakBefore w:val="0"/>
        <w:kinsoku/>
        <w:wordWrap/>
        <w:overflowPunct/>
        <w:topLinePunct w:val="0"/>
        <w:autoSpaceDE/>
        <w:autoSpaceDN/>
        <w:bidi w:val="0"/>
        <w:adjustRightInd w:val="0"/>
        <w:snapToGrid w:val="0"/>
        <w:spacing w:line="520" w:lineRule="exact"/>
        <w:ind w:left="1" w:firstLine="562" w:firstLineChars="200"/>
        <w:textAlignment w:val="auto"/>
        <w:rPr>
          <w:rFonts w:ascii="仿宋_GB2312" w:hAnsi="Times New Roman" w:eastAsia="仿宋_GB2312" w:cs="Times New Roman"/>
          <w:b/>
          <w:sz w:val="28"/>
          <w:szCs w:val="28"/>
        </w:rPr>
      </w:pPr>
      <w:r>
        <w:rPr>
          <w:rFonts w:hint="eastAsia" w:ascii="仿宋_GB2312" w:hAnsi="Times New Roman" w:eastAsia="仿宋_GB2312" w:cs="Times New Roman"/>
          <w:b/>
          <w:sz w:val="28"/>
          <w:szCs w:val="28"/>
        </w:rPr>
        <w:t>2、标准征求意见稿形成阶段</w:t>
      </w:r>
    </w:p>
    <w:p w14:paraId="0EA9077F">
      <w:pPr>
        <w:pageBreakBefore w:val="0"/>
        <w:kinsoku/>
        <w:wordWrap/>
        <w:overflowPunct/>
        <w:topLinePunct w:val="0"/>
        <w:autoSpaceDE/>
        <w:autoSpaceDN/>
        <w:bidi w:val="0"/>
        <w:adjustRightInd w:val="0"/>
        <w:snapToGrid w:val="0"/>
        <w:spacing w:line="520" w:lineRule="exact"/>
        <w:ind w:left="1" w:firstLine="560" w:firstLineChars="200"/>
        <w:textAlignment w:val="auto"/>
        <w:rPr>
          <w:rFonts w:ascii="仿宋_GB2312" w:hAnsi="Times New Roman" w:eastAsia="仿宋_GB2312" w:cs="Times New Roman"/>
          <w:sz w:val="28"/>
          <w:szCs w:val="28"/>
        </w:rPr>
      </w:pPr>
      <w:r>
        <w:rPr>
          <w:rFonts w:hint="eastAsia" w:ascii="仿宋_GB2312" w:hAnsi="Times New Roman" w:eastAsia="仿宋_GB2312" w:cs="Times New Roman"/>
          <w:sz w:val="28"/>
          <w:szCs w:val="28"/>
        </w:rPr>
        <w:t>20</w:t>
      </w:r>
      <w:r>
        <w:rPr>
          <w:rFonts w:ascii="仿宋_GB2312" w:hAnsi="Times New Roman" w:eastAsia="仿宋_GB2312" w:cs="Times New Roman"/>
          <w:sz w:val="28"/>
          <w:szCs w:val="28"/>
        </w:rPr>
        <w:t>26</w:t>
      </w:r>
      <w:r>
        <w:rPr>
          <w:rFonts w:hint="eastAsia" w:ascii="仿宋_GB2312" w:hAnsi="Times New Roman" w:eastAsia="仿宋_GB2312" w:cs="Times New Roman"/>
          <w:sz w:val="28"/>
          <w:szCs w:val="28"/>
        </w:rPr>
        <w:t>年</w:t>
      </w:r>
      <w:r>
        <w:rPr>
          <w:rFonts w:ascii="仿宋_GB2312" w:hAnsi="Times New Roman" w:eastAsia="仿宋_GB2312" w:cs="Times New Roman"/>
          <w:sz w:val="28"/>
          <w:szCs w:val="28"/>
        </w:rPr>
        <w:t>4</w:t>
      </w:r>
      <w:r>
        <w:rPr>
          <w:rFonts w:hint="eastAsia" w:ascii="仿宋_GB2312" w:hAnsi="Times New Roman" w:eastAsia="仿宋_GB2312" w:cs="Times New Roman"/>
          <w:sz w:val="28"/>
          <w:szCs w:val="28"/>
        </w:rPr>
        <w:t>月至</w:t>
      </w:r>
      <w:r>
        <w:rPr>
          <w:rFonts w:ascii="仿宋_GB2312" w:hAnsi="Times New Roman" w:eastAsia="仿宋_GB2312" w:cs="Times New Roman"/>
          <w:sz w:val="28"/>
          <w:szCs w:val="28"/>
        </w:rPr>
        <w:t>5</w:t>
      </w:r>
      <w:r>
        <w:rPr>
          <w:rFonts w:hint="eastAsia" w:ascii="仿宋_GB2312" w:hAnsi="Times New Roman" w:eastAsia="仿宋_GB2312" w:cs="Times New Roman"/>
          <w:sz w:val="28"/>
          <w:szCs w:val="28"/>
        </w:rPr>
        <w:t>月，完成内容撰写与初稿形成，基于现已完成的数据元标准（草案），撰写标准正文，形成征求意见稿初稿，并于6月完成专家内审。</w:t>
      </w:r>
    </w:p>
    <w:p w14:paraId="4FBE7D06">
      <w:pPr>
        <w:pageBreakBefore w:val="0"/>
        <w:kinsoku/>
        <w:wordWrap/>
        <w:overflowPunct/>
        <w:topLinePunct w:val="0"/>
        <w:autoSpaceDE/>
        <w:autoSpaceDN/>
        <w:bidi w:val="0"/>
        <w:adjustRightInd w:val="0"/>
        <w:snapToGrid w:val="0"/>
        <w:spacing w:before="156" w:beforeLines="50" w:after="156" w:afterLines="50" w:line="520" w:lineRule="exact"/>
        <w:textAlignment w:val="auto"/>
        <w:rPr>
          <w:rFonts w:ascii="仿宋_GB2312" w:hAnsi="Times New Roman" w:eastAsia="仿宋_GB2312" w:cs="Times New Roman"/>
          <w:b/>
          <w:sz w:val="28"/>
          <w:szCs w:val="28"/>
        </w:rPr>
      </w:pPr>
      <w:r>
        <w:rPr>
          <w:rFonts w:hint="eastAsia" w:ascii="仿宋_GB2312" w:hAnsi="Times New Roman" w:eastAsia="仿宋_GB2312" w:cs="Times New Roman"/>
          <w:b/>
          <w:sz w:val="28"/>
          <w:szCs w:val="28"/>
        </w:rPr>
        <w:t>三、标准编制原则、主要内容及确定依据</w:t>
      </w:r>
    </w:p>
    <w:p w14:paraId="59CF4065">
      <w:pPr>
        <w:pageBreakBefore w:val="0"/>
        <w:kinsoku/>
        <w:wordWrap/>
        <w:overflowPunct/>
        <w:topLinePunct w:val="0"/>
        <w:autoSpaceDE/>
        <w:autoSpaceDN/>
        <w:bidi w:val="0"/>
        <w:adjustRightInd w:val="0"/>
        <w:snapToGrid w:val="0"/>
        <w:spacing w:before="156" w:beforeLines="50" w:after="156" w:afterLines="50" w:line="520" w:lineRule="exact"/>
        <w:ind w:firstLine="422" w:firstLineChars="150"/>
        <w:textAlignment w:val="auto"/>
        <w:outlineLvl w:val="0"/>
        <w:rPr>
          <w:rFonts w:ascii="楷体" w:hAnsi="楷体" w:eastAsia="楷体" w:cs="Times New Roman"/>
          <w:b/>
          <w:sz w:val="28"/>
          <w:szCs w:val="28"/>
        </w:rPr>
      </w:pPr>
      <w:r>
        <w:rPr>
          <w:rFonts w:hint="eastAsia" w:ascii="楷体" w:hAnsi="楷体" w:eastAsia="楷体" w:cs="Times New Roman"/>
          <w:b/>
          <w:sz w:val="28"/>
          <w:szCs w:val="28"/>
        </w:rPr>
        <w:t>（一）标准编制原则</w:t>
      </w:r>
    </w:p>
    <w:p w14:paraId="7EE64E23">
      <w:pPr>
        <w:pageBreakBefore w:val="0"/>
        <w:kinsoku/>
        <w:wordWrap/>
        <w:overflowPunct/>
        <w:topLinePunct w:val="0"/>
        <w:autoSpaceDE/>
        <w:autoSpaceDN/>
        <w:bidi w:val="0"/>
        <w:adjustRightInd w:val="0"/>
        <w:snapToGrid w:val="0"/>
        <w:spacing w:line="520" w:lineRule="exact"/>
        <w:ind w:left="1" w:firstLine="560" w:firstLineChars="200"/>
        <w:textAlignment w:val="auto"/>
        <w:rPr>
          <w:rFonts w:ascii="仿宋_GB2312" w:hAnsi="Times New Roman" w:eastAsia="仿宋_GB2312" w:cs="Times New Roman"/>
          <w:sz w:val="28"/>
          <w:szCs w:val="28"/>
        </w:rPr>
      </w:pPr>
      <w:r>
        <w:rPr>
          <w:rFonts w:hint="eastAsia" w:ascii="仿宋_GB2312" w:hAnsi="Times New Roman" w:eastAsia="仿宋_GB2312" w:cs="Times New Roman"/>
          <w:sz w:val="28"/>
          <w:szCs w:val="28"/>
        </w:rPr>
        <w:t>（1）遵循国家有关政策、方针、法规和规章；</w:t>
      </w:r>
    </w:p>
    <w:p w14:paraId="645080AF">
      <w:pPr>
        <w:pageBreakBefore w:val="0"/>
        <w:kinsoku/>
        <w:wordWrap/>
        <w:overflowPunct/>
        <w:topLinePunct w:val="0"/>
        <w:autoSpaceDE/>
        <w:autoSpaceDN/>
        <w:bidi w:val="0"/>
        <w:adjustRightInd w:val="0"/>
        <w:snapToGrid w:val="0"/>
        <w:spacing w:line="520" w:lineRule="exact"/>
        <w:ind w:left="1" w:firstLine="560" w:firstLineChars="200"/>
        <w:textAlignment w:val="auto"/>
        <w:rPr>
          <w:rFonts w:ascii="仿宋_GB2312" w:hAnsi="Times New Roman" w:eastAsia="仿宋_GB2312" w:cs="Times New Roman"/>
          <w:sz w:val="28"/>
          <w:szCs w:val="28"/>
        </w:rPr>
      </w:pPr>
      <w:r>
        <w:rPr>
          <w:rFonts w:hint="eastAsia" w:ascii="仿宋_GB2312" w:hAnsi="Times New Roman" w:eastAsia="仿宋_GB2312" w:cs="Times New Roman"/>
          <w:sz w:val="28"/>
          <w:szCs w:val="28"/>
        </w:rPr>
        <w:t>（2）标准格式严格按照GB/T 1.1的要求进行编写；</w:t>
      </w:r>
    </w:p>
    <w:p w14:paraId="7F65B008">
      <w:pPr>
        <w:pageBreakBefore w:val="0"/>
        <w:kinsoku/>
        <w:wordWrap/>
        <w:overflowPunct/>
        <w:topLinePunct w:val="0"/>
        <w:autoSpaceDE/>
        <w:autoSpaceDN/>
        <w:bidi w:val="0"/>
        <w:adjustRightInd w:val="0"/>
        <w:snapToGrid w:val="0"/>
        <w:spacing w:line="520" w:lineRule="exact"/>
        <w:ind w:left="1" w:firstLine="560" w:firstLineChars="200"/>
        <w:textAlignment w:val="auto"/>
        <w:rPr>
          <w:rFonts w:ascii="仿宋_GB2312" w:hAnsi="Times New Roman" w:eastAsia="仿宋_GB2312" w:cs="Times New Roman"/>
          <w:sz w:val="28"/>
          <w:szCs w:val="28"/>
        </w:rPr>
      </w:pPr>
      <w:r>
        <w:rPr>
          <w:rFonts w:hint="eastAsia" w:ascii="仿宋_GB2312" w:hAnsi="Times New Roman" w:eastAsia="仿宋_GB2312" w:cs="Times New Roman"/>
          <w:sz w:val="28"/>
          <w:szCs w:val="28"/>
        </w:rPr>
        <w:t>（3）注重标准的适用性。结合我国、我省及医疗卫生行业实情，充分参考国家相关政策方针、国家标准、行业规范和标准的要求，考虑其与国家政策方针、相关标准相协调和衔接；</w:t>
      </w:r>
    </w:p>
    <w:p w14:paraId="7B1F29C6">
      <w:pPr>
        <w:pageBreakBefore w:val="0"/>
        <w:kinsoku/>
        <w:wordWrap/>
        <w:overflowPunct/>
        <w:topLinePunct w:val="0"/>
        <w:autoSpaceDE/>
        <w:autoSpaceDN/>
        <w:bidi w:val="0"/>
        <w:adjustRightInd w:val="0"/>
        <w:snapToGrid w:val="0"/>
        <w:spacing w:line="520" w:lineRule="exact"/>
        <w:ind w:left="1" w:firstLine="560" w:firstLineChars="200"/>
        <w:textAlignment w:val="auto"/>
        <w:rPr>
          <w:rFonts w:ascii="仿宋_GB2312" w:hAnsi="Times New Roman" w:eastAsia="仿宋_GB2312" w:cs="Times New Roman"/>
          <w:sz w:val="28"/>
          <w:szCs w:val="28"/>
        </w:rPr>
      </w:pPr>
      <w:r>
        <w:rPr>
          <w:rFonts w:hint="eastAsia" w:ascii="仿宋_GB2312" w:hAnsi="Times New Roman" w:eastAsia="仿宋_GB2312" w:cs="Times New Roman"/>
          <w:sz w:val="28"/>
          <w:szCs w:val="28"/>
        </w:rPr>
        <w:t>（4）注重标准的科学性和可操作性。</w:t>
      </w:r>
    </w:p>
    <w:p w14:paraId="75928F55">
      <w:pPr>
        <w:pageBreakBefore w:val="0"/>
        <w:kinsoku/>
        <w:wordWrap/>
        <w:overflowPunct/>
        <w:topLinePunct w:val="0"/>
        <w:autoSpaceDE/>
        <w:autoSpaceDN/>
        <w:bidi w:val="0"/>
        <w:adjustRightInd w:val="0"/>
        <w:snapToGrid w:val="0"/>
        <w:spacing w:before="156" w:beforeLines="50" w:after="156" w:afterLines="50" w:line="520" w:lineRule="exact"/>
        <w:ind w:firstLine="422" w:firstLineChars="150"/>
        <w:textAlignment w:val="auto"/>
        <w:outlineLvl w:val="0"/>
        <w:rPr>
          <w:rFonts w:ascii="楷体" w:hAnsi="楷体" w:eastAsia="楷体" w:cs="Times New Roman"/>
          <w:b/>
          <w:sz w:val="28"/>
          <w:szCs w:val="28"/>
        </w:rPr>
      </w:pPr>
      <w:r>
        <w:rPr>
          <w:rFonts w:hint="eastAsia" w:ascii="楷体" w:hAnsi="楷体" w:eastAsia="楷体" w:cs="Times New Roman"/>
          <w:b/>
          <w:sz w:val="28"/>
          <w:szCs w:val="28"/>
        </w:rPr>
        <w:t>（二）标准主要内容及确定依据</w:t>
      </w:r>
    </w:p>
    <w:p w14:paraId="12919A35">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本标准完整包含范围、规范性引用文件、术语和定义、数据元数据属性、数据元公用属性、数据元专用属性，配套完整数据元表格与标准索引，完整覆盖研究者发起临床研究从立项到成果转化全生命周期数据采集汇交需求。</w:t>
      </w:r>
    </w:p>
    <w:p w14:paraId="76D58D23">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1、范围</w:t>
      </w:r>
    </w:p>
    <w:p w14:paraId="79946628">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规定了研究者发起的临床研究项目数据汇交的内容规范、分类代码和数据元及其值域代码标准。</w:t>
      </w:r>
    </w:p>
    <w:p w14:paraId="4D2002D8">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2、规范性引用文件</w:t>
      </w:r>
    </w:p>
    <w:p w14:paraId="6019EB1D">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引用文件分为四大类：国家标准化基础导则、卫生信息数据集行业标准、疾病与人口基础分类国标、临床科研与数据安全专项规范，核心文件包括：</w:t>
      </w:r>
    </w:p>
    <w:p w14:paraId="591D6CA1">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GB/T 1.1-2020 标准化工作导则 第1部分：标准化文件的结构和起草规则</w:t>
      </w:r>
    </w:p>
    <w:p w14:paraId="58DD5070">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GB/T 2260 中华人民共和国行政区划代码</w:t>
      </w:r>
    </w:p>
    <w:p w14:paraId="3D63C915">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GB/T 2261.1-2003 个人基本信息分类与代码 第1部分：人的性别代码</w:t>
      </w:r>
    </w:p>
    <w:p w14:paraId="3825EFCA">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GB/T 3304-1991 中国各民族名称</w:t>
      </w:r>
    </w:p>
    <w:p w14:paraId="226CE4F6">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GB/T 4658-2006 学历代码</w:t>
      </w:r>
    </w:p>
    <w:p w14:paraId="46987D45">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GB/T 4761-2008 家庭关系代码</w:t>
      </w:r>
    </w:p>
    <w:p w14:paraId="630A99FB">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WS 363.1-2011 卫生信息数据元目录 第1部分总则</w:t>
      </w:r>
    </w:p>
    <w:p w14:paraId="28C20AD3">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WS 364.1-2011 卫生信息数据元值域代码 第1部分总则</w:t>
      </w:r>
    </w:p>
    <w:p w14:paraId="372615EC">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WS 370-2012 卫生信息基本数据集编制规范</w:t>
      </w:r>
    </w:p>
    <w:p w14:paraId="4B23CD55">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WS 445-2014 电子病历基本数据集</w:t>
      </w:r>
    </w:p>
    <w:p w14:paraId="37892479">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ICD-10 疾病和有关健康问题的国际统计分类第10版</w:t>
      </w:r>
    </w:p>
    <w:p w14:paraId="265D125D">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ICD-11 国际疾病分类第11版</w:t>
      </w:r>
    </w:p>
    <w:p w14:paraId="66769657">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3、术语和定义</w:t>
      </w:r>
    </w:p>
    <w:p w14:paraId="6E728362">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明确3项核心基础术语：临床研究项目数据、数据汇交、数据质量控制，定义边界区分普通诊疗数据与科研专用数据，明确汇交全流程环节、质量控制完整性/保密性/一致性核心目标，对齐WS 370数据集基础术语体系。</w:t>
      </w:r>
    </w:p>
    <w:p w14:paraId="51269F6A">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4、数据元数据属性</w:t>
      </w:r>
    </w:p>
    <w:p w14:paraId="6836B06F">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统一规定数据集标识、分类、发布方、关键词、内容摘要等元数据标准，固定数据集唯一标识符CRP.001.001.001_V1.0，为全省统一科研数据库、跨网交换提供唯一索引标识。</w:t>
      </w:r>
    </w:p>
    <w:p w14:paraId="628B95CC">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30"/>
          <w:szCs w:val="30"/>
        </w:rPr>
      </w:pPr>
      <w:r>
        <w:rPr>
          <w:rFonts w:hint="eastAsia" w:ascii="Times New Roman" w:hAnsi="Times New Roman" w:eastAsia="仿宋_GB2312" w:cs="Times New Roman"/>
          <w:sz w:val="28"/>
          <w:szCs w:val="28"/>
        </w:rPr>
        <w:t>5、数据元公用属性</w:t>
      </w:r>
    </w:p>
    <w:p w14:paraId="5843B60E">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统一所有科研数据元通用管理属性，包含版本、注册机构、主管单位、分类模式，规范全省临床研究数据元统一管理体系，保障跨系统识别兼容。</w:t>
      </w:r>
    </w:p>
    <w:p w14:paraId="08DF4A6D">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6、数据元专用属性（标准核心主体）</w:t>
      </w:r>
    </w:p>
    <w:p w14:paraId="41D6DC7D">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按照临床研究业务流程划分为六大模块，共计61张子数据元表格，覆盖全部业务环节：</w:t>
      </w:r>
    </w:p>
    <w:p w14:paraId="6AD583B8">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（1）项目基础信息模块：研究分类、项目编码、适应症、生物样本、未上市试验产品、受试者招募、数据共享声明等字段；适配干细胞、侵入式脑机接口、中医导向研究等特殊科研场景。</w:t>
      </w:r>
    </w:p>
    <w:p w14:paraId="1C2B21A8">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（2）审核与审批信息模块：伦理委员会、学术委员会、科学性/伦理/立项审查全套字段，覆盖批件、备案、会议审查、简易审查、跟踪审查全流程归档数据。</w:t>
      </w:r>
    </w:p>
    <w:p w14:paraId="3DB6EE97">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（3）参与方与资源准备模块：研究团队、发起/参与单位、合作协议、研究经费、保险、利益冲突、启动培训等管理类数据元。</w:t>
      </w:r>
    </w:p>
    <w:p w14:paraId="2DEBF86A">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（4）研究实施与过程管理模块：受试者入组随访、随机盲法、方案变更、方案违背、不良事件/ SAE、生物样本流转、研究物资台账、质控稽查记录核心科研业务字段，是保障GCP 合规的核心内容。</w:t>
      </w:r>
    </w:p>
    <w:p w14:paraId="50A5C104">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（5）研究结题与产出模块：结题/终止报告、论文、专利、软件著作、成果转化等科研成果标准化字段，支撑科研绩效、成果汇交统计。</w:t>
      </w:r>
    </w:p>
    <w:p w14:paraId="01EA8D60">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（6）其他配套附件模块：研究方案、知情同意模板、第三方科研平台归档文件通用字段。</w:t>
      </w:r>
    </w:p>
    <w:p w14:paraId="7936FCAE">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全部数据元统一规定内部标识符、数据元编号、名称、定义、数据类型、表示格式、值域代码六要素，值域优先采用国家统一编码，无国标值域则设置标准化分类代码，兼顾系统存储与人工填报。</w:t>
      </w:r>
    </w:p>
    <w:p w14:paraId="1ED1EF4E">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ascii="Times New Roman" w:hAnsi="Times New Roman" w:eastAsia="仿宋_GB2312" w:cs="Times New Roman"/>
          <w:sz w:val="28"/>
          <w:szCs w:val="28"/>
        </w:rPr>
        <w:t>7</w:t>
      </w:r>
      <w:r>
        <w:rPr>
          <w:rFonts w:hint="eastAsia" w:ascii="Times New Roman" w:hAnsi="Times New Roman" w:eastAsia="仿宋_GB2312" w:cs="Times New Roman"/>
          <w:sz w:val="28"/>
          <w:szCs w:val="28"/>
        </w:rPr>
        <w:t>、索引</w:t>
      </w:r>
    </w:p>
    <w:p w14:paraId="343ED7C3">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按照拼音首字母建立全量数据元名称 - 标识符索引，方便科研管理人员、系统开发人员快速检索对应字段，提升标准落地使用效率。</w:t>
      </w:r>
    </w:p>
    <w:p w14:paraId="164B9BDA">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ascii="Times New Roman" w:hAnsi="Times New Roman" w:eastAsia="仿宋_GB2312" w:cs="Times New Roman"/>
          <w:sz w:val="28"/>
          <w:szCs w:val="28"/>
        </w:rPr>
        <w:t>8</w:t>
      </w:r>
      <w:r>
        <w:rPr>
          <w:rFonts w:hint="eastAsia" w:ascii="Times New Roman" w:hAnsi="Times New Roman" w:eastAsia="仿宋_GB2312" w:cs="Times New Roman"/>
          <w:sz w:val="28"/>
          <w:szCs w:val="28"/>
        </w:rPr>
        <w:t>、标准内容制定核心依据</w:t>
      </w:r>
    </w:p>
    <w:p w14:paraId="50AEB0E0">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卫生信息数据集基础规范：WS 370、WS 363、WS 364 为数据集整体编制框架、数据元格式、表格模板提供编制依据；</w:t>
      </w:r>
    </w:p>
    <w:p w14:paraId="58C45D03">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临床研究监管法规：《药物临床试验质量管理规范》《医疗器械临床试验质量管理规范》《涉及人的生命科学和医学研究伦理审查办法》确定伦理、不良事件、受试者保护相关字段；</w:t>
      </w:r>
    </w:p>
    <w:p w14:paraId="00311B8D">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健康医疗数据安全系列标准：GB/T 39725、T/GDWJ 013、《健康医疗信息 跨网数据交换安全技术要求》确定敏感科研字段采集、脱敏、交换约束；</w:t>
      </w:r>
    </w:p>
    <w:p w14:paraId="76FAB36E">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国家全民健康信息化、科研数据共享政策文件；</w:t>
      </w:r>
    </w:p>
    <w:p w14:paraId="0AC2808C">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全省医疗机构调研业务实际需求与两轮专家评审修改意见；</w:t>
      </w:r>
    </w:p>
    <w:p w14:paraId="755D6823">
      <w:pPr>
        <w:pageBreakBefore w:val="0"/>
        <w:kinsoku/>
        <w:wordWrap/>
        <w:overflowPunct/>
        <w:topLinePunct w:val="0"/>
        <w:autoSpaceDE/>
        <w:autoSpaceDN/>
        <w:bidi w:val="0"/>
        <w:adjustRightInd w:val="0"/>
        <w:snapToGrid w:val="0"/>
        <w:spacing w:line="520" w:lineRule="exact"/>
        <w:ind w:firstLine="420" w:firstLineChars="15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国际ICH、HL7临床科研数据元通用设计思路。</w:t>
      </w:r>
    </w:p>
    <w:p w14:paraId="110E3ED1">
      <w:pPr>
        <w:pageBreakBefore w:val="0"/>
        <w:kinsoku/>
        <w:wordWrap/>
        <w:overflowPunct/>
        <w:topLinePunct w:val="0"/>
        <w:autoSpaceDE/>
        <w:autoSpaceDN/>
        <w:bidi w:val="0"/>
        <w:adjustRightInd w:val="0"/>
        <w:snapToGrid w:val="0"/>
        <w:spacing w:before="156" w:beforeLines="50" w:after="156" w:afterLines="50" w:line="520" w:lineRule="exact"/>
        <w:textAlignment w:val="auto"/>
        <w:rPr>
          <w:rFonts w:ascii="黑体" w:hAnsi="黑体" w:eastAsia="黑体" w:cs="Times New Roman"/>
          <w:b/>
          <w:sz w:val="28"/>
          <w:szCs w:val="28"/>
        </w:rPr>
      </w:pPr>
      <w:r>
        <w:rPr>
          <w:rFonts w:hint="eastAsia" w:ascii="黑体" w:hAnsi="黑体" w:eastAsia="黑体" w:cs="Times New Roman"/>
          <w:b/>
          <w:sz w:val="28"/>
          <w:szCs w:val="28"/>
        </w:rPr>
        <w:t>四、与国内外法律、法规和标准相关情况的说明</w:t>
      </w:r>
    </w:p>
    <w:p w14:paraId="57A30EC5">
      <w:pPr>
        <w:pageBreakBefore w:val="0"/>
        <w:kinsoku/>
        <w:wordWrap/>
        <w:overflowPunct/>
        <w:topLinePunct w:val="0"/>
        <w:autoSpaceDE/>
        <w:autoSpaceDN/>
        <w:bidi w:val="0"/>
        <w:adjustRightInd w:val="0"/>
        <w:snapToGrid w:val="0"/>
        <w:spacing w:line="520" w:lineRule="exact"/>
        <w:ind w:firstLine="560" w:firstLineChars="20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（一）国内相关法规、标准现状</w:t>
      </w:r>
    </w:p>
    <w:p w14:paraId="257A80DF">
      <w:pPr>
        <w:pageBreakBefore w:val="0"/>
        <w:kinsoku/>
        <w:wordWrap/>
        <w:overflowPunct/>
        <w:topLinePunct w:val="0"/>
        <w:autoSpaceDE/>
        <w:autoSpaceDN/>
        <w:bidi w:val="0"/>
        <w:adjustRightInd w:val="0"/>
        <w:snapToGrid w:val="0"/>
        <w:spacing w:line="520" w:lineRule="exact"/>
        <w:ind w:firstLine="560" w:firstLineChars="20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国内临床研究相关规范分为三层：第一层为法律层面《数据安全法》《个人信息保护法》划定科研数据隐私与安全底线；第二层卫健委GCP、伦理审查办法规范临床研究业务流程；第三层现有卫生行业标准多聚焦诊疗电子病历、健康档案，缺少覆盖临床研究全生命周期的专用基础数据集。</w:t>
      </w:r>
    </w:p>
    <w:p w14:paraId="67AEB4AA">
      <w:pPr>
        <w:pageBreakBefore w:val="0"/>
        <w:kinsoku/>
        <w:wordWrap/>
        <w:overflowPunct/>
        <w:topLinePunct w:val="0"/>
        <w:autoSpaceDE/>
        <w:autoSpaceDN/>
        <w:bidi w:val="0"/>
        <w:adjustRightInd w:val="0"/>
        <w:snapToGrid w:val="0"/>
        <w:spacing w:line="520" w:lineRule="exact"/>
        <w:ind w:firstLine="560" w:firstLineChars="20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电子病历、区域卫生信息平台现有WS系列标准仅覆盖常规诊疗业务，对随机盲法、方案违背、严重不良事件、多中心合作协议、科研经费、成果转化、生物样本库管理等科研特有信息无标准化字段，存在标准空白。民航、政务、医疗跨网交换等相关标准仅规定数据传输安全，未定义科研底层采集字段，本标准填补此项空白。</w:t>
      </w:r>
    </w:p>
    <w:p w14:paraId="3455CCCD">
      <w:pPr>
        <w:pageBreakBefore w:val="0"/>
        <w:kinsoku/>
        <w:wordWrap/>
        <w:overflowPunct/>
        <w:topLinePunct w:val="0"/>
        <w:autoSpaceDE/>
        <w:autoSpaceDN/>
        <w:bidi w:val="0"/>
        <w:adjustRightInd w:val="0"/>
        <w:snapToGrid w:val="0"/>
        <w:spacing w:line="520" w:lineRule="exact"/>
        <w:ind w:firstLine="560" w:firstLineChars="20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（二）国外相关标准参考情况</w:t>
      </w:r>
    </w:p>
    <w:p w14:paraId="2EBE09B8">
      <w:pPr>
        <w:pageBreakBefore w:val="0"/>
        <w:kinsoku/>
        <w:wordWrap/>
        <w:overflowPunct/>
        <w:topLinePunct w:val="0"/>
        <w:autoSpaceDE/>
        <w:autoSpaceDN/>
        <w:bidi w:val="0"/>
        <w:adjustRightInd w:val="0"/>
        <w:snapToGrid w:val="0"/>
        <w:spacing w:line="520" w:lineRule="exact"/>
        <w:ind w:firstLine="560" w:firstLineChars="200"/>
        <w:textAlignment w:val="auto"/>
        <w:outlineLvl w:val="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国际领域ICH GCP、NIH临床研究数据元规范、HL7 FHIR科研模块、GDPR个人信息保护规则形成完整体系：统一受试者基线、干预、终点指标、不良事件标准化采集规则，严格区分可公开 / 敏感科研数据。编制组重点参考国际通用字段设计逻辑，结合国内伦理审查、科研立项行政监管本土化要求进行适配调整，不直接照搬国外字段，兼顾国内监管特色与国际多中心合作兼容需求。</w:t>
      </w:r>
    </w:p>
    <w:p w14:paraId="4B879AD4">
      <w:pPr>
        <w:pStyle w:val="2"/>
        <w:pageBreakBefore w:val="0"/>
        <w:kinsoku/>
        <w:wordWrap/>
        <w:overflowPunct/>
        <w:topLinePunct w:val="0"/>
        <w:autoSpaceDE/>
        <w:autoSpaceDN/>
        <w:bidi w:val="0"/>
        <w:adjustRightInd w:val="0"/>
        <w:snapToGrid w:val="0"/>
        <w:spacing w:before="156" w:beforeLines="50" w:after="156" w:afterLines="50" w:line="520" w:lineRule="exact"/>
        <w:textAlignment w:val="auto"/>
      </w:pPr>
      <w:r>
        <w:rPr>
          <w:rFonts w:hint="eastAsia"/>
        </w:rPr>
        <w:t>五、其他需要说明的问题</w:t>
      </w:r>
    </w:p>
    <w:p w14:paraId="2C4B9FB1">
      <w:pPr>
        <w:pageBreakBefore w:val="0"/>
        <w:kinsoku/>
        <w:wordWrap/>
        <w:overflowPunct/>
        <w:topLinePunct w:val="0"/>
        <w:autoSpaceDE/>
        <w:autoSpaceDN/>
        <w:bidi w:val="0"/>
        <w:adjustRightInd w:val="0"/>
        <w:snapToGrid w:val="0"/>
        <w:spacing w:line="520" w:lineRule="exact"/>
        <w:ind w:firstLine="495"/>
        <w:textAlignment w:val="auto"/>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本标准技术内容不涉及专利。</w:t>
      </w:r>
    </w:p>
    <w:p w14:paraId="6C3A199F">
      <w:pPr>
        <w:pageBreakBefore w:val="0"/>
        <w:kinsoku/>
        <w:wordWrap/>
        <w:overflowPunct/>
        <w:topLinePunct w:val="0"/>
        <w:autoSpaceDE/>
        <w:autoSpaceDN/>
        <w:bidi w:val="0"/>
        <w:adjustRightInd w:val="0"/>
        <w:snapToGrid w:val="0"/>
        <w:spacing w:line="520" w:lineRule="exact"/>
        <w:ind w:firstLine="495"/>
        <w:textAlignment w:val="auto"/>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本标准技术内容是推荐性，并作为团体标准发布，本标准在发布后即开始实施。</w:t>
      </w:r>
    </w:p>
    <w:p w14:paraId="0BF5DE2E">
      <w:pPr>
        <w:pageBreakBefore w:val="0"/>
        <w:kinsoku/>
        <w:wordWrap/>
        <w:overflowPunct/>
        <w:topLinePunct w:val="0"/>
        <w:autoSpaceDE/>
        <w:autoSpaceDN/>
        <w:bidi w:val="0"/>
        <w:adjustRightInd w:val="0"/>
        <w:snapToGrid w:val="0"/>
        <w:spacing w:line="520" w:lineRule="exact"/>
        <w:textAlignment w:val="auto"/>
      </w:pPr>
    </w:p>
    <w:p w14:paraId="72593019">
      <w:pPr>
        <w:pageBreakBefore w:val="0"/>
        <w:kinsoku/>
        <w:wordWrap/>
        <w:overflowPunct/>
        <w:topLinePunct w:val="0"/>
        <w:autoSpaceDE/>
        <w:autoSpaceDN/>
        <w:bidi w:val="0"/>
        <w:adjustRightInd w:val="0"/>
        <w:snapToGrid w:val="0"/>
        <w:spacing w:line="520" w:lineRule="exact"/>
        <w:textAlignment w:val="auto"/>
      </w:pPr>
    </w:p>
    <w:p w14:paraId="6297216C">
      <w:pPr>
        <w:pageBreakBefore w:val="0"/>
        <w:kinsoku/>
        <w:wordWrap/>
        <w:overflowPunct/>
        <w:topLinePunct w:val="0"/>
        <w:autoSpaceDE/>
        <w:autoSpaceDN/>
        <w:bidi w:val="0"/>
        <w:adjustRightInd w:val="0"/>
        <w:snapToGrid w:val="0"/>
        <w:spacing w:line="520" w:lineRule="exact"/>
        <w:textAlignment w:val="auto"/>
      </w:pPr>
    </w:p>
    <w:p w14:paraId="5AEA0D44">
      <w:pPr>
        <w:pageBreakBefore w:val="0"/>
        <w:widowControl/>
        <w:kinsoku/>
        <w:wordWrap/>
        <w:overflowPunct/>
        <w:topLinePunct w:val="0"/>
        <w:autoSpaceDE/>
        <w:autoSpaceDN/>
        <w:bidi w:val="0"/>
        <w:adjustRightInd w:val="0"/>
        <w:snapToGrid w:val="0"/>
        <w:spacing w:line="520" w:lineRule="exact"/>
        <w:ind w:left="425" w:firstLine="200"/>
        <w:jc w:val="left"/>
        <w:textAlignment w:val="auto"/>
        <w:rPr>
          <w:rFonts w:ascii="Times New Roman" w:hAnsi="Times New Roman" w:eastAsia="仿宋_GB2312" w:cs="Times New Roman"/>
          <w:sz w:val="28"/>
          <w:szCs w:val="28"/>
        </w:rPr>
      </w:pPr>
      <w:r>
        <w:rPr>
          <w:rFonts w:hint="eastAsia"/>
        </w:rPr>
        <w:t xml:space="preserve">       </w:t>
      </w:r>
      <w:r>
        <w:t xml:space="preserve">                    </w:t>
      </w:r>
      <w:r>
        <w:rPr>
          <w:rFonts w:hint="eastAsia"/>
        </w:rPr>
        <w:t xml:space="preserve">   </w:t>
      </w:r>
      <w:r>
        <w:rPr>
          <w:rFonts w:hint="eastAsia" w:ascii="Times New Roman" w:hAnsi="Times New Roman" w:eastAsia="仿宋_GB2312" w:cs="Times New Roman"/>
          <w:sz w:val="28"/>
          <w:szCs w:val="28"/>
        </w:rPr>
        <w:t>广东省卫生健康委员会事务中心</w:t>
      </w:r>
    </w:p>
    <w:p w14:paraId="600BCC28">
      <w:pPr>
        <w:pageBreakBefore w:val="0"/>
        <w:widowControl/>
        <w:kinsoku/>
        <w:wordWrap/>
        <w:overflowPunct/>
        <w:topLinePunct w:val="0"/>
        <w:autoSpaceDE/>
        <w:autoSpaceDN/>
        <w:bidi w:val="0"/>
        <w:adjustRightInd w:val="0"/>
        <w:snapToGrid w:val="0"/>
        <w:spacing w:line="520" w:lineRule="exact"/>
        <w:ind w:left="425" w:firstLine="200"/>
        <w:jc w:val="left"/>
        <w:textAlignment w:val="auto"/>
        <w:rPr>
          <w:rFonts w:ascii="Times New Roman" w:hAnsi="Times New Roman" w:eastAsia="仿宋_GB2312" w:cs="Times New Roman"/>
          <w:sz w:val="28"/>
          <w:szCs w:val="28"/>
        </w:rPr>
      </w:pPr>
      <w:r>
        <w:rPr>
          <w:rFonts w:hint="eastAsia"/>
        </w:rPr>
        <w:t xml:space="preserve">                                       </w:t>
      </w:r>
      <w:r>
        <w:rPr>
          <w:rFonts w:hint="eastAsia" w:ascii="Times New Roman" w:hAnsi="Times New Roman" w:eastAsia="仿宋_GB2312" w:cs="Times New Roman"/>
          <w:sz w:val="28"/>
          <w:szCs w:val="28"/>
        </w:rPr>
        <w:t xml:space="preserve">  202</w:t>
      </w:r>
      <w:r>
        <w:rPr>
          <w:rFonts w:ascii="Times New Roman" w:hAnsi="Times New Roman" w:eastAsia="仿宋_GB2312" w:cs="Times New Roman"/>
          <w:sz w:val="28"/>
          <w:szCs w:val="28"/>
        </w:rPr>
        <w:t>6</w:t>
      </w:r>
      <w:r>
        <w:rPr>
          <w:rFonts w:hint="eastAsia" w:ascii="Times New Roman" w:hAnsi="Times New Roman" w:eastAsia="仿宋_GB2312" w:cs="Times New Roman"/>
          <w:sz w:val="28"/>
          <w:szCs w:val="28"/>
        </w:rPr>
        <w:t>年</w:t>
      </w:r>
      <w:r>
        <w:rPr>
          <w:rFonts w:ascii="Times New Roman" w:hAnsi="Times New Roman" w:eastAsia="仿宋_GB2312" w:cs="Times New Roman"/>
          <w:sz w:val="28"/>
          <w:szCs w:val="28"/>
        </w:rPr>
        <w:t>6</w:t>
      </w:r>
      <w:r>
        <w:rPr>
          <w:rFonts w:hint="eastAsia" w:ascii="Times New Roman" w:hAnsi="Times New Roman" w:eastAsia="仿宋_GB2312" w:cs="Times New Roman"/>
          <w:sz w:val="28"/>
          <w:szCs w:val="28"/>
        </w:rPr>
        <w:t>月</w:t>
      </w:r>
    </w:p>
    <w:sectPr>
      <w:footerReference r:id="rId5" w:type="firs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CDE8173-23B7-40D8-B3ED-93B392CF3F1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ED19C927-2F75-4792-8AE7-F1950BE267E5}"/>
  </w:font>
  <w:font w:name="方正小标宋简体">
    <w:panose1 w:val="02000000000000000000"/>
    <w:charset w:val="86"/>
    <w:family w:val="auto"/>
    <w:pitch w:val="default"/>
    <w:sig w:usb0="A00002BF" w:usb1="184F6CFA" w:usb2="00000012" w:usb3="00000000" w:csb0="00040001" w:csb1="00000000"/>
    <w:embedRegular r:id="rId3" w:fontKey="{319C8331-7209-4D66-8386-A9A0A9FB5CD8}"/>
  </w:font>
  <w:font w:name="楷体">
    <w:panose1 w:val="02010609060101010101"/>
    <w:charset w:val="86"/>
    <w:family w:val="modern"/>
    <w:pitch w:val="default"/>
    <w:sig w:usb0="800002BF" w:usb1="38CF7CFA" w:usb2="00000016" w:usb3="00000000" w:csb0="00040001" w:csb1="00000000"/>
    <w:embedRegular r:id="rId4" w:fontKey="{D075853F-14F7-43FA-A250-F63907DEA93D}"/>
  </w:font>
  <w:font w:name="仿宋_GB2312">
    <w:panose1 w:val="02010609030101010101"/>
    <w:charset w:val="86"/>
    <w:family w:val="modern"/>
    <w:pitch w:val="default"/>
    <w:sig w:usb0="00000001" w:usb1="080E0000" w:usb2="00000000" w:usb3="00000000" w:csb0="00040000" w:csb1="00000000"/>
    <w:embedRegular r:id="rId5" w:fontKey="{406528EB-51CE-4EEE-82FE-47C0481527B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07559596"/>
      <w:docPartObj>
        <w:docPartGallery w:val="autotext"/>
      </w:docPartObj>
    </w:sdtPr>
    <w:sdtContent>
      <w:p w14:paraId="28E344F7">
        <w:pPr>
          <w:pStyle w:val="7"/>
          <w:jc w:val="center"/>
        </w:pPr>
        <w:r>
          <w:fldChar w:fldCharType="begin"/>
        </w:r>
        <w:r>
          <w:instrText xml:space="preserve">PAGE   \* MERGEFORMAT</w:instrText>
        </w:r>
        <w:r>
          <w:fldChar w:fldCharType="separate"/>
        </w:r>
        <w:r>
          <w:rPr>
            <w:lang w:val="zh-CN"/>
          </w:rPr>
          <w:t>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93809">
    <w:pPr>
      <w:pStyle w:val="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6366774"/>
      <w:docPartObj>
        <w:docPartGallery w:val="autotext"/>
      </w:docPartObj>
    </w:sdtPr>
    <w:sdtContent>
      <w:p w14:paraId="46105D26">
        <w:pPr>
          <w:pStyle w:val="7"/>
          <w:jc w:val="center"/>
        </w:pPr>
        <w:r>
          <w:fldChar w:fldCharType="begin"/>
        </w:r>
        <w:r>
          <w:instrText xml:space="preserve">PAGE   \* MERGEFORMAT</w:instrText>
        </w:r>
        <w:r>
          <w:fldChar w:fldCharType="separate"/>
        </w:r>
        <w:r>
          <w:rPr>
            <w:lang w:val="zh-CN"/>
          </w:rPr>
          <w:t>2</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EE2"/>
    <w:rsid w:val="00003F0E"/>
    <w:rsid w:val="00011932"/>
    <w:rsid w:val="00014363"/>
    <w:rsid w:val="000150B4"/>
    <w:rsid w:val="00053669"/>
    <w:rsid w:val="00054307"/>
    <w:rsid w:val="00061E91"/>
    <w:rsid w:val="000676D2"/>
    <w:rsid w:val="00090246"/>
    <w:rsid w:val="00096D4A"/>
    <w:rsid w:val="000A2D90"/>
    <w:rsid w:val="000B1C43"/>
    <w:rsid w:val="000C7AF8"/>
    <w:rsid w:val="000E41D7"/>
    <w:rsid w:val="000E6BCD"/>
    <w:rsid w:val="000E71F1"/>
    <w:rsid w:val="000F2E3B"/>
    <w:rsid w:val="001064D8"/>
    <w:rsid w:val="001068EE"/>
    <w:rsid w:val="001069C1"/>
    <w:rsid w:val="00111E94"/>
    <w:rsid w:val="0012390D"/>
    <w:rsid w:val="00123FA2"/>
    <w:rsid w:val="00154CF0"/>
    <w:rsid w:val="00157AAD"/>
    <w:rsid w:val="001710A7"/>
    <w:rsid w:val="00180206"/>
    <w:rsid w:val="00180814"/>
    <w:rsid w:val="00182DBF"/>
    <w:rsid w:val="001836B6"/>
    <w:rsid w:val="00197EE6"/>
    <w:rsid w:val="001A071B"/>
    <w:rsid w:val="001A2786"/>
    <w:rsid w:val="001B089D"/>
    <w:rsid w:val="001B58FE"/>
    <w:rsid w:val="001B5939"/>
    <w:rsid w:val="001C43FC"/>
    <w:rsid w:val="001D435F"/>
    <w:rsid w:val="001E4A66"/>
    <w:rsid w:val="001E51D4"/>
    <w:rsid w:val="001E5C6D"/>
    <w:rsid w:val="001F4197"/>
    <w:rsid w:val="001F692F"/>
    <w:rsid w:val="001F7254"/>
    <w:rsid w:val="00204A0D"/>
    <w:rsid w:val="00210933"/>
    <w:rsid w:val="00211EBC"/>
    <w:rsid w:val="002219DB"/>
    <w:rsid w:val="00231625"/>
    <w:rsid w:val="00231F14"/>
    <w:rsid w:val="00243E3F"/>
    <w:rsid w:val="002628DA"/>
    <w:rsid w:val="00270B1C"/>
    <w:rsid w:val="00284018"/>
    <w:rsid w:val="002957B2"/>
    <w:rsid w:val="002A4D74"/>
    <w:rsid w:val="002A58DA"/>
    <w:rsid w:val="002E0ADD"/>
    <w:rsid w:val="002E587A"/>
    <w:rsid w:val="00311EB6"/>
    <w:rsid w:val="003170A4"/>
    <w:rsid w:val="00323650"/>
    <w:rsid w:val="00355679"/>
    <w:rsid w:val="00357494"/>
    <w:rsid w:val="003641F6"/>
    <w:rsid w:val="00365488"/>
    <w:rsid w:val="00366268"/>
    <w:rsid w:val="00367D2C"/>
    <w:rsid w:val="00371714"/>
    <w:rsid w:val="00384A13"/>
    <w:rsid w:val="00385565"/>
    <w:rsid w:val="00390B9D"/>
    <w:rsid w:val="0039434A"/>
    <w:rsid w:val="003B5E39"/>
    <w:rsid w:val="003C0CB8"/>
    <w:rsid w:val="003D2B31"/>
    <w:rsid w:val="003D527B"/>
    <w:rsid w:val="003D7A82"/>
    <w:rsid w:val="003F37C6"/>
    <w:rsid w:val="004030FF"/>
    <w:rsid w:val="00403EF6"/>
    <w:rsid w:val="00405EE2"/>
    <w:rsid w:val="004206B0"/>
    <w:rsid w:val="00423368"/>
    <w:rsid w:val="00430779"/>
    <w:rsid w:val="00441359"/>
    <w:rsid w:val="0044419D"/>
    <w:rsid w:val="00450490"/>
    <w:rsid w:val="004601C6"/>
    <w:rsid w:val="00460B61"/>
    <w:rsid w:val="00462ACF"/>
    <w:rsid w:val="00464333"/>
    <w:rsid w:val="00467A18"/>
    <w:rsid w:val="004706FF"/>
    <w:rsid w:val="00473973"/>
    <w:rsid w:val="00483E3A"/>
    <w:rsid w:val="00495657"/>
    <w:rsid w:val="004968D4"/>
    <w:rsid w:val="004B0BDB"/>
    <w:rsid w:val="004B19C6"/>
    <w:rsid w:val="004C4215"/>
    <w:rsid w:val="004E4A9B"/>
    <w:rsid w:val="0050206C"/>
    <w:rsid w:val="00504A85"/>
    <w:rsid w:val="005208EA"/>
    <w:rsid w:val="0052736E"/>
    <w:rsid w:val="005308D2"/>
    <w:rsid w:val="00537A70"/>
    <w:rsid w:val="00546026"/>
    <w:rsid w:val="00553F5B"/>
    <w:rsid w:val="00554054"/>
    <w:rsid w:val="00572824"/>
    <w:rsid w:val="0057799D"/>
    <w:rsid w:val="00582C74"/>
    <w:rsid w:val="0058651B"/>
    <w:rsid w:val="00590CCF"/>
    <w:rsid w:val="005932A3"/>
    <w:rsid w:val="00593741"/>
    <w:rsid w:val="00597A82"/>
    <w:rsid w:val="005A407E"/>
    <w:rsid w:val="005A76F3"/>
    <w:rsid w:val="005C6E8E"/>
    <w:rsid w:val="005E204D"/>
    <w:rsid w:val="005E5980"/>
    <w:rsid w:val="006275BD"/>
    <w:rsid w:val="00634E0F"/>
    <w:rsid w:val="00643C86"/>
    <w:rsid w:val="00652BD7"/>
    <w:rsid w:val="00653C21"/>
    <w:rsid w:val="00655EA7"/>
    <w:rsid w:val="00657095"/>
    <w:rsid w:val="006611D5"/>
    <w:rsid w:val="006673DE"/>
    <w:rsid w:val="00670E24"/>
    <w:rsid w:val="00680B43"/>
    <w:rsid w:val="006849E4"/>
    <w:rsid w:val="006A0D23"/>
    <w:rsid w:val="006A246E"/>
    <w:rsid w:val="006B0716"/>
    <w:rsid w:val="006C5DEE"/>
    <w:rsid w:val="006F1804"/>
    <w:rsid w:val="006F2A8E"/>
    <w:rsid w:val="006F3446"/>
    <w:rsid w:val="006F3F2C"/>
    <w:rsid w:val="006F5C16"/>
    <w:rsid w:val="0070301A"/>
    <w:rsid w:val="00710B32"/>
    <w:rsid w:val="007153A3"/>
    <w:rsid w:val="007228B3"/>
    <w:rsid w:val="007337C1"/>
    <w:rsid w:val="00742642"/>
    <w:rsid w:val="00745BD5"/>
    <w:rsid w:val="00751251"/>
    <w:rsid w:val="00752389"/>
    <w:rsid w:val="00754F9C"/>
    <w:rsid w:val="00755BDF"/>
    <w:rsid w:val="007746D7"/>
    <w:rsid w:val="0077623F"/>
    <w:rsid w:val="00780FD7"/>
    <w:rsid w:val="00791F4B"/>
    <w:rsid w:val="007A73DB"/>
    <w:rsid w:val="007C1DF1"/>
    <w:rsid w:val="007C4BE7"/>
    <w:rsid w:val="007D7C5A"/>
    <w:rsid w:val="007E1A7A"/>
    <w:rsid w:val="007E2086"/>
    <w:rsid w:val="007E2D8D"/>
    <w:rsid w:val="007F1E84"/>
    <w:rsid w:val="007F6310"/>
    <w:rsid w:val="0080495A"/>
    <w:rsid w:val="00804B48"/>
    <w:rsid w:val="00831B8F"/>
    <w:rsid w:val="008416C9"/>
    <w:rsid w:val="00850BD7"/>
    <w:rsid w:val="008564AC"/>
    <w:rsid w:val="0085744F"/>
    <w:rsid w:val="008628C7"/>
    <w:rsid w:val="00864A21"/>
    <w:rsid w:val="0086676E"/>
    <w:rsid w:val="00870887"/>
    <w:rsid w:val="00893475"/>
    <w:rsid w:val="00894A34"/>
    <w:rsid w:val="008A5048"/>
    <w:rsid w:val="008B7902"/>
    <w:rsid w:val="008D0E1E"/>
    <w:rsid w:val="008D4438"/>
    <w:rsid w:val="008D4AFF"/>
    <w:rsid w:val="008E1FC3"/>
    <w:rsid w:val="008E2AD1"/>
    <w:rsid w:val="008F2934"/>
    <w:rsid w:val="009010E1"/>
    <w:rsid w:val="00911E40"/>
    <w:rsid w:val="00913045"/>
    <w:rsid w:val="00914675"/>
    <w:rsid w:val="00926039"/>
    <w:rsid w:val="00944EF8"/>
    <w:rsid w:val="00946486"/>
    <w:rsid w:val="009475F5"/>
    <w:rsid w:val="00950DDB"/>
    <w:rsid w:val="0095323C"/>
    <w:rsid w:val="00980F59"/>
    <w:rsid w:val="00982657"/>
    <w:rsid w:val="00992E45"/>
    <w:rsid w:val="009A688F"/>
    <w:rsid w:val="009B1049"/>
    <w:rsid w:val="009B3170"/>
    <w:rsid w:val="009B73F7"/>
    <w:rsid w:val="009C0060"/>
    <w:rsid w:val="009F2BDC"/>
    <w:rsid w:val="009F34A1"/>
    <w:rsid w:val="00A012DA"/>
    <w:rsid w:val="00A0234A"/>
    <w:rsid w:val="00A21200"/>
    <w:rsid w:val="00A242C2"/>
    <w:rsid w:val="00A27413"/>
    <w:rsid w:val="00A32C1E"/>
    <w:rsid w:val="00A370B6"/>
    <w:rsid w:val="00A639B3"/>
    <w:rsid w:val="00A665E4"/>
    <w:rsid w:val="00AA05A2"/>
    <w:rsid w:val="00AC4881"/>
    <w:rsid w:val="00AD76D7"/>
    <w:rsid w:val="00AF09DA"/>
    <w:rsid w:val="00AF33DF"/>
    <w:rsid w:val="00B032D2"/>
    <w:rsid w:val="00B06B3D"/>
    <w:rsid w:val="00B06CF4"/>
    <w:rsid w:val="00B10178"/>
    <w:rsid w:val="00B109C2"/>
    <w:rsid w:val="00B20009"/>
    <w:rsid w:val="00B2675B"/>
    <w:rsid w:val="00B35DD5"/>
    <w:rsid w:val="00B37635"/>
    <w:rsid w:val="00B40648"/>
    <w:rsid w:val="00B4655A"/>
    <w:rsid w:val="00B57351"/>
    <w:rsid w:val="00B65557"/>
    <w:rsid w:val="00B71D87"/>
    <w:rsid w:val="00B74A72"/>
    <w:rsid w:val="00B805DD"/>
    <w:rsid w:val="00B84A2F"/>
    <w:rsid w:val="00B84A76"/>
    <w:rsid w:val="00B90639"/>
    <w:rsid w:val="00B912AC"/>
    <w:rsid w:val="00B93045"/>
    <w:rsid w:val="00BA348B"/>
    <w:rsid w:val="00BA75F2"/>
    <w:rsid w:val="00BB60D3"/>
    <w:rsid w:val="00BC0A7F"/>
    <w:rsid w:val="00BD265D"/>
    <w:rsid w:val="00BD3CF0"/>
    <w:rsid w:val="00BE3756"/>
    <w:rsid w:val="00C1174A"/>
    <w:rsid w:val="00C35E0A"/>
    <w:rsid w:val="00C3732E"/>
    <w:rsid w:val="00C40289"/>
    <w:rsid w:val="00C5149D"/>
    <w:rsid w:val="00C63D1F"/>
    <w:rsid w:val="00C7400F"/>
    <w:rsid w:val="00C81E2A"/>
    <w:rsid w:val="00C84284"/>
    <w:rsid w:val="00C94286"/>
    <w:rsid w:val="00CA009D"/>
    <w:rsid w:val="00CB00EE"/>
    <w:rsid w:val="00CB5621"/>
    <w:rsid w:val="00CB62E7"/>
    <w:rsid w:val="00CC0F12"/>
    <w:rsid w:val="00CC5265"/>
    <w:rsid w:val="00CC7E26"/>
    <w:rsid w:val="00CD6418"/>
    <w:rsid w:val="00CE7985"/>
    <w:rsid w:val="00D07F30"/>
    <w:rsid w:val="00D115CB"/>
    <w:rsid w:val="00D27465"/>
    <w:rsid w:val="00D356B3"/>
    <w:rsid w:val="00D452A7"/>
    <w:rsid w:val="00D51AD5"/>
    <w:rsid w:val="00D63711"/>
    <w:rsid w:val="00D669A5"/>
    <w:rsid w:val="00D81211"/>
    <w:rsid w:val="00D92F43"/>
    <w:rsid w:val="00DA33A4"/>
    <w:rsid w:val="00DA40E8"/>
    <w:rsid w:val="00DB01D0"/>
    <w:rsid w:val="00DC0573"/>
    <w:rsid w:val="00DC0EA6"/>
    <w:rsid w:val="00DD2888"/>
    <w:rsid w:val="00DD3103"/>
    <w:rsid w:val="00DD3EF2"/>
    <w:rsid w:val="00DD76D9"/>
    <w:rsid w:val="00DF7CF5"/>
    <w:rsid w:val="00E02630"/>
    <w:rsid w:val="00E10133"/>
    <w:rsid w:val="00E15511"/>
    <w:rsid w:val="00E167CD"/>
    <w:rsid w:val="00E22385"/>
    <w:rsid w:val="00E33D5E"/>
    <w:rsid w:val="00E458EC"/>
    <w:rsid w:val="00E536C2"/>
    <w:rsid w:val="00E56D0D"/>
    <w:rsid w:val="00E724FB"/>
    <w:rsid w:val="00EA28C2"/>
    <w:rsid w:val="00EA3176"/>
    <w:rsid w:val="00EB1056"/>
    <w:rsid w:val="00EB1C3F"/>
    <w:rsid w:val="00EB490A"/>
    <w:rsid w:val="00EC3EB7"/>
    <w:rsid w:val="00EC4F64"/>
    <w:rsid w:val="00EC5B79"/>
    <w:rsid w:val="00EE5780"/>
    <w:rsid w:val="00EE7869"/>
    <w:rsid w:val="00EF0858"/>
    <w:rsid w:val="00F0213D"/>
    <w:rsid w:val="00F07EEB"/>
    <w:rsid w:val="00F07FDD"/>
    <w:rsid w:val="00F12853"/>
    <w:rsid w:val="00F20987"/>
    <w:rsid w:val="00F23172"/>
    <w:rsid w:val="00F80812"/>
    <w:rsid w:val="00F9337B"/>
    <w:rsid w:val="00F971A0"/>
    <w:rsid w:val="00FB454B"/>
    <w:rsid w:val="00FB5C42"/>
    <w:rsid w:val="00FB5F2F"/>
    <w:rsid w:val="00FE0D26"/>
    <w:rsid w:val="00FE1819"/>
    <w:rsid w:val="00FE363A"/>
    <w:rsid w:val="00FF3DE8"/>
    <w:rsid w:val="06E460DC"/>
    <w:rsid w:val="1BB6213C"/>
    <w:rsid w:val="54C80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qFormat/>
    <w:uiPriority w:val="9"/>
    <w:pPr>
      <w:keepNext/>
      <w:keepLines/>
      <w:widowControl/>
      <w:spacing w:before="340" w:after="330" w:line="578" w:lineRule="auto"/>
      <w:jc w:val="left"/>
      <w:outlineLvl w:val="0"/>
    </w:pPr>
    <w:rPr>
      <w:rFonts w:ascii="Times New Roman" w:hAnsi="Times New Roman" w:eastAsia="黑体" w:cs="Times New Roman"/>
      <w:b/>
      <w:bCs/>
      <w:kern w:val="44"/>
      <w:sz w:val="28"/>
      <w:szCs w:val="44"/>
    </w:rPr>
  </w:style>
  <w:style w:type="paragraph" w:styleId="3">
    <w:name w:val="heading 3"/>
    <w:basedOn w:val="1"/>
    <w:next w:val="1"/>
    <w:link w:val="20"/>
    <w:semiHidden/>
    <w:unhideWhenUsed/>
    <w:qFormat/>
    <w:uiPriority w:val="9"/>
    <w:pPr>
      <w:keepNext/>
      <w:keepLines/>
      <w:spacing w:before="260" w:after="260" w:line="416" w:lineRule="auto"/>
      <w:outlineLvl w:val="2"/>
    </w:pPr>
    <w:rPr>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8"/>
    <w:semiHidden/>
    <w:unhideWhenUsed/>
    <w:qFormat/>
    <w:uiPriority w:val="99"/>
    <w:pPr>
      <w:jc w:val="left"/>
    </w:pPr>
  </w:style>
  <w:style w:type="paragraph" w:styleId="5">
    <w:name w:val="Date"/>
    <w:basedOn w:val="1"/>
    <w:next w:val="1"/>
    <w:link w:val="15"/>
    <w:semiHidden/>
    <w:unhideWhenUsed/>
    <w:qFormat/>
    <w:uiPriority w:val="99"/>
    <w:pPr>
      <w:ind w:left="100" w:leftChars="2500"/>
    </w:pPr>
  </w:style>
  <w:style w:type="paragraph" w:styleId="6">
    <w:name w:val="Balloon Text"/>
    <w:basedOn w:val="1"/>
    <w:link w:val="17"/>
    <w:semiHidden/>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19"/>
    <w:semiHidden/>
    <w:unhideWhenUsed/>
    <w:qFormat/>
    <w:uiPriority w:val="99"/>
    <w:rPr>
      <w:b/>
      <w:bCs/>
    </w:r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8"/>
    <w:qFormat/>
    <w:uiPriority w:val="99"/>
    <w:rPr>
      <w:sz w:val="18"/>
      <w:szCs w:val="18"/>
    </w:rPr>
  </w:style>
  <w:style w:type="character" w:customStyle="1" w:styleId="14">
    <w:name w:val="页脚 字符"/>
    <w:basedOn w:val="11"/>
    <w:link w:val="7"/>
    <w:qFormat/>
    <w:uiPriority w:val="99"/>
    <w:rPr>
      <w:sz w:val="18"/>
      <w:szCs w:val="18"/>
    </w:rPr>
  </w:style>
  <w:style w:type="character" w:customStyle="1" w:styleId="15">
    <w:name w:val="日期 字符"/>
    <w:basedOn w:val="11"/>
    <w:link w:val="5"/>
    <w:semiHidden/>
    <w:qFormat/>
    <w:uiPriority w:val="99"/>
  </w:style>
  <w:style w:type="character" w:customStyle="1" w:styleId="16">
    <w:name w:val="标题 1 字符"/>
    <w:basedOn w:val="11"/>
    <w:link w:val="2"/>
    <w:qFormat/>
    <w:uiPriority w:val="9"/>
    <w:rPr>
      <w:rFonts w:ascii="Times New Roman" w:hAnsi="Times New Roman" w:eastAsia="黑体" w:cs="Times New Roman"/>
      <w:b/>
      <w:bCs/>
      <w:kern w:val="44"/>
      <w:sz w:val="28"/>
      <w:szCs w:val="44"/>
    </w:rPr>
  </w:style>
  <w:style w:type="character" w:customStyle="1" w:styleId="17">
    <w:name w:val="批注框文本 字符"/>
    <w:basedOn w:val="11"/>
    <w:link w:val="6"/>
    <w:semiHidden/>
    <w:qFormat/>
    <w:uiPriority w:val="99"/>
    <w:rPr>
      <w:sz w:val="18"/>
      <w:szCs w:val="18"/>
    </w:rPr>
  </w:style>
  <w:style w:type="character" w:customStyle="1" w:styleId="18">
    <w:name w:val="批注文字 字符"/>
    <w:basedOn w:val="11"/>
    <w:link w:val="4"/>
    <w:semiHidden/>
    <w:qFormat/>
    <w:uiPriority w:val="99"/>
  </w:style>
  <w:style w:type="character" w:customStyle="1" w:styleId="19">
    <w:name w:val="批注主题 字符"/>
    <w:basedOn w:val="18"/>
    <w:link w:val="9"/>
    <w:semiHidden/>
    <w:qFormat/>
    <w:uiPriority w:val="99"/>
    <w:rPr>
      <w:b/>
      <w:bCs/>
    </w:rPr>
  </w:style>
  <w:style w:type="character" w:customStyle="1" w:styleId="20">
    <w:name w:val="标题 3 字符"/>
    <w:basedOn w:val="11"/>
    <w:link w:val="3"/>
    <w:semiHidden/>
    <w:qFormat/>
    <w:uiPriority w:val="9"/>
    <w:rPr>
      <w:b/>
      <w:bCs/>
      <w:kern w:val="2"/>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9CF79-E540-4C1D-B01A-72421F9A9CCF}">
  <ds:schemaRefs/>
</ds:datastoreItem>
</file>

<file path=docProps/app.xml><?xml version="1.0" encoding="utf-8"?>
<Properties xmlns="http://schemas.openxmlformats.org/officeDocument/2006/extended-properties" xmlns:vt="http://schemas.openxmlformats.org/officeDocument/2006/docPropsVTypes">
  <Template>Normal.dotm</Template>
  <Pages>8</Pages>
  <Words>3755</Words>
  <Characters>3971</Characters>
  <Lines>29</Lines>
  <Paragraphs>8</Paragraphs>
  <TotalTime>129</TotalTime>
  <ScaleCrop>false</ScaleCrop>
  <LinksUpToDate>false</LinksUpToDate>
  <CharactersWithSpaces>4126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2026-06-22T06:46:00Z</dcterms:created>
  <dc:creator>user</dc:creator>
  <cp:lastModifiedBy>小彭彭</cp:lastModifiedBy>
  <dcterms:modified xsi:type="dcterms:W3CDTF">2026-06-23T09:11:57Z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CDA5B7C355DF4A5087200EDF25B9806D_13</vt:lpwstr>
  </property>
  <property fmtid="{D5CDD505-2E9C-101B-9397-08002B2CF9AE}" pid="4" name="KSOTemplateDocerSaveRecord">
    <vt:lpwstr>eyJoZGlkIjoiOWIzMmEyODBjYzg2NTdmMjI2NWRmNjhmYjdiZWViM2QiLCJ1c2VySWQiOiIzNTI1NjM2NTgifQ==</vt:lpwstr>
  </property>
</Properties>
</file>