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FF7D8">
      <w:pPr>
        <w:rPr>
          <w:rFonts w:hint="eastAsia"/>
        </w:rPr>
      </w:pPr>
    </w:p>
    <w:p w14:paraId="3F83D842"/>
    <w:p w14:paraId="400C3E0F"/>
    <w:p w14:paraId="30B5A1D6"/>
    <w:p w14:paraId="430E6728"/>
    <w:p w14:paraId="1A985043"/>
    <w:p w14:paraId="604BCEF0"/>
    <w:p w14:paraId="574EBAA8"/>
    <w:p w14:paraId="025BA756"/>
    <w:p w14:paraId="112F3BBA"/>
    <w:p w14:paraId="5C130BDD"/>
    <w:p w14:paraId="61BAFE17"/>
    <w:p w14:paraId="5DB2AC45"/>
    <w:p w14:paraId="2A87ACD5"/>
    <w:p w14:paraId="31FE3215"/>
    <w:p w14:paraId="7FD42D23"/>
    <w:p w14:paraId="09D48BEF">
      <w:pPr>
        <w:jc w:val="center"/>
        <w:rPr>
          <w:rFonts w:ascii="方正小标宋简体" w:hAnsi="Times New Roman" w:eastAsia="方正小标宋简体" w:cs="Times New Roman"/>
          <w:b/>
          <w:bCs/>
          <w:sz w:val="48"/>
          <w:szCs w:val="48"/>
        </w:rPr>
      </w:pPr>
      <w:r>
        <w:rPr>
          <w:rFonts w:hint="eastAsia" w:ascii="方正小标宋简体" w:hAnsi="Times New Roman" w:eastAsia="方正小标宋简体" w:cs="Times New Roman"/>
          <w:b/>
          <w:bCs/>
          <w:sz w:val="48"/>
          <w:szCs w:val="48"/>
        </w:rPr>
        <w:t>团</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体</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标</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准</w:t>
      </w:r>
    </w:p>
    <w:p w14:paraId="3AC2D001">
      <w:pPr>
        <w:jc w:val="center"/>
        <w:rPr>
          <w:rFonts w:hint="eastAsia"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《医学科研成果转化基本数据集》</w:t>
      </w:r>
    </w:p>
    <w:p w14:paraId="3A08F8D0">
      <w:pPr>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（征求意见稿）编制说明</w:t>
      </w:r>
    </w:p>
    <w:p w14:paraId="053E04C1">
      <w:pPr>
        <w:jc w:val="center"/>
        <w:rPr>
          <w:rFonts w:ascii="方正小标宋简体" w:hAnsi="Times New Roman" w:eastAsia="方正小标宋简体" w:cs="Times New Roman"/>
          <w:b/>
          <w:bCs/>
          <w:sz w:val="44"/>
          <w:szCs w:val="44"/>
        </w:rPr>
      </w:pPr>
    </w:p>
    <w:p w14:paraId="374914A4">
      <w:pPr>
        <w:jc w:val="center"/>
        <w:rPr>
          <w:rFonts w:ascii="方正小标宋简体" w:hAnsi="Times New Roman" w:eastAsia="方正小标宋简体" w:cs="Times New Roman"/>
          <w:b/>
          <w:bCs/>
          <w:sz w:val="44"/>
          <w:szCs w:val="44"/>
        </w:rPr>
      </w:pPr>
    </w:p>
    <w:p w14:paraId="09A997B8">
      <w:pPr>
        <w:jc w:val="center"/>
        <w:rPr>
          <w:rFonts w:ascii="方正小标宋简体" w:hAnsi="Times New Roman" w:eastAsia="方正小标宋简体" w:cs="Times New Roman"/>
          <w:b/>
          <w:bCs/>
          <w:sz w:val="44"/>
          <w:szCs w:val="44"/>
        </w:rPr>
      </w:pPr>
    </w:p>
    <w:p w14:paraId="4A2E33E7">
      <w:pPr>
        <w:jc w:val="center"/>
        <w:rPr>
          <w:rFonts w:ascii="方正小标宋简体" w:hAnsi="Times New Roman" w:eastAsia="方正小标宋简体" w:cs="Times New Roman"/>
          <w:b/>
          <w:bCs/>
          <w:sz w:val="44"/>
          <w:szCs w:val="44"/>
        </w:rPr>
      </w:pPr>
    </w:p>
    <w:p w14:paraId="6989F863"/>
    <w:p w14:paraId="6D0AD524">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广东省卫生健康委员会事务中心</w:t>
      </w:r>
    </w:p>
    <w:p w14:paraId="539FA47D">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202</w:t>
      </w:r>
      <w:r>
        <w:rPr>
          <w:rFonts w:ascii="楷体" w:hAnsi="楷体" w:eastAsia="楷体" w:cs="Times New Roman"/>
          <w:b/>
          <w:bCs/>
          <w:color w:val="000000"/>
          <w:sz w:val="30"/>
          <w:szCs w:val="30"/>
        </w:rPr>
        <w:t>6</w:t>
      </w:r>
      <w:r>
        <w:rPr>
          <w:rFonts w:hint="eastAsia" w:ascii="楷体" w:hAnsi="楷体" w:eastAsia="楷体" w:cs="Times New Roman"/>
          <w:b/>
          <w:bCs/>
          <w:color w:val="000000"/>
          <w:sz w:val="30"/>
          <w:szCs w:val="30"/>
        </w:rPr>
        <w:t>年</w:t>
      </w:r>
      <w:r>
        <w:rPr>
          <w:rFonts w:ascii="楷体" w:hAnsi="楷体" w:eastAsia="楷体" w:cs="Times New Roman"/>
          <w:b/>
          <w:bCs/>
          <w:color w:val="000000"/>
          <w:sz w:val="30"/>
          <w:szCs w:val="30"/>
        </w:rPr>
        <w:t>6</w:t>
      </w:r>
      <w:r>
        <w:rPr>
          <w:rFonts w:hint="eastAsia" w:ascii="楷体" w:hAnsi="楷体" w:eastAsia="楷体" w:cs="Times New Roman"/>
          <w:b/>
          <w:bCs/>
          <w:color w:val="000000"/>
          <w:sz w:val="30"/>
          <w:szCs w:val="30"/>
        </w:rPr>
        <w:t>月</w:t>
      </w:r>
    </w:p>
    <w:p w14:paraId="4FFA4ED3">
      <w:pPr>
        <w:rPr>
          <w:rFonts w:ascii="楷体" w:hAnsi="楷体" w:eastAsia="楷体" w:cs="Times New Roman"/>
          <w:b/>
          <w:bCs/>
          <w:color w:val="000000"/>
          <w:sz w:val="30"/>
          <w:szCs w:val="30"/>
        </w:rPr>
        <w:sectPr>
          <w:footerReference r:id="rId4" w:type="first"/>
          <w:footerReference r:id="rId3" w:type="default"/>
          <w:pgSz w:w="11906" w:h="16838"/>
          <w:pgMar w:top="1440" w:right="1800" w:bottom="1440" w:left="1800" w:header="851" w:footer="992" w:gutter="0"/>
          <w:cols w:space="425" w:num="1"/>
          <w:titlePg/>
          <w:docGrid w:type="lines" w:linePitch="312" w:charSpace="0"/>
        </w:sectPr>
      </w:pPr>
    </w:p>
    <w:p w14:paraId="4EEC5EE8">
      <w:pPr>
        <w:pageBreakBefore w:val="0"/>
        <w:kinsoku/>
        <w:wordWrap/>
        <w:overflowPunct/>
        <w:topLinePunct w:val="0"/>
        <w:autoSpaceDE/>
        <w:autoSpaceDN/>
        <w:bidi w:val="0"/>
        <w:adjustRightInd w:val="0"/>
        <w:snapToGrid w:val="0"/>
        <w:spacing w:line="520" w:lineRule="exact"/>
        <w:jc w:val="center"/>
        <w:textAlignment w:val="auto"/>
        <w:rPr>
          <w:rFonts w:hint="eastAsia" w:ascii="方正小标宋简体" w:hAnsi="Times New Roman" w:eastAsia="方正小标宋简体" w:cs="Times New Roman"/>
          <w:b w:val="0"/>
          <w:bCs/>
          <w:sz w:val="36"/>
          <w:szCs w:val="36"/>
        </w:rPr>
      </w:pPr>
      <w:r>
        <w:rPr>
          <w:rFonts w:hint="eastAsia" w:ascii="方正小标宋简体" w:hAnsi="Times New Roman" w:eastAsia="方正小标宋简体" w:cs="Times New Roman"/>
          <w:b w:val="0"/>
          <w:bCs/>
          <w:sz w:val="36"/>
          <w:szCs w:val="36"/>
        </w:rPr>
        <w:t>团体标准《医学科研成果转化基本数据集》</w:t>
      </w:r>
    </w:p>
    <w:p w14:paraId="491B0F8F">
      <w:pPr>
        <w:pageBreakBefore w:val="0"/>
        <w:kinsoku/>
        <w:wordWrap/>
        <w:overflowPunct/>
        <w:topLinePunct w:val="0"/>
        <w:autoSpaceDE/>
        <w:autoSpaceDN/>
        <w:bidi w:val="0"/>
        <w:adjustRightInd w:val="0"/>
        <w:snapToGrid w:val="0"/>
        <w:spacing w:line="520" w:lineRule="exact"/>
        <w:jc w:val="center"/>
        <w:textAlignment w:val="auto"/>
        <w:rPr>
          <w:rFonts w:hint="eastAsia" w:ascii="方正小标宋简体" w:hAnsi="Times New Roman" w:eastAsia="方正小标宋简体" w:cs="Times New Roman"/>
          <w:b w:val="0"/>
          <w:bCs/>
          <w:sz w:val="36"/>
          <w:szCs w:val="36"/>
        </w:rPr>
      </w:pPr>
      <w:r>
        <w:rPr>
          <w:rFonts w:hint="eastAsia" w:ascii="方正小标宋简体" w:hAnsi="Times New Roman" w:eastAsia="方正小标宋简体" w:cs="Times New Roman"/>
          <w:b w:val="0"/>
          <w:bCs/>
          <w:sz w:val="36"/>
          <w:szCs w:val="36"/>
        </w:rPr>
        <w:t>（征求意见稿）编制说明</w:t>
      </w:r>
    </w:p>
    <w:p w14:paraId="2E30BC10">
      <w:pPr>
        <w:pageBreakBefore w:val="0"/>
        <w:kinsoku/>
        <w:wordWrap/>
        <w:overflowPunct/>
        <w:topLinePunct w:val="0"/>
        <w:autoSpaceDE/>
        <w:autoSpaceDN/>
        <w:bidi w:val="0"/>
        <w:adjustRightInd w:val="0"/>
        <w:snapToGrid w:val="0"/>
        <w:spacing w:line="520" w:lineRule="exact"/>
        <w:jc w:val="center"/>
        <w:textAlignment w:val="auto"/>
        <w:rPr>
          <w:rFonts w:ascii="方正小标宋简体" w:hAnsi="Times New Roman" w:eastAsia="方正小标宋简体" w:cs="Times New Roman"/>
          <w:b/>
          <w:sz w:val="32"/>
          <w:szCs w:val="32"/>
        </w:rPr>
      </w:pPr>
    </w:p>
    <w:p w14:paraId="1EAB86DC">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一、项目背景和必要性</w:t>
      </w:r>
    </w:p>
    <w:p w14:paraId="6EF525F2">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医疗卫生行业科技成果转化工作近年持续提速，各级医院、高校附属医院、公共卫生机构均开展专利、软件著作权、临床技术、院内制剂等成果市场化转化业务，但行业长期存在数据标准不统一、字段定义混乱、元数据缺失、汇交口径差异大、转化主体信息、合同支付、知识产权材料无统一规范等问题：不同医疗机构成果台账字段不互通，省级成果转化监测平台无法自动归集跨机构数据；专利、软著、转化交易、收益分成、第三方中介材料无标准化数据元，人工填报重复工作量大；跨机构、跨行业数据交换缺少统一数据集规范，数据比对、统计分析、政策评估、知识产权监管缺乏可靠数据支撑。</w:t>
      </w:r>
    </w:p>
    <w:p w14:paraId="4DBD94E6">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国家层面出台系列政策文件推动医疗科技创新与数据标准化管理：《“十四五”全民健康信息化规划》明确要求健全卫生健康数据标准体系、完善医疗科研数据治理；《医疗卫生机构网络安全管理办法》规范医疗科研数据采集、存储、共享全流程管理；《促进科技成果转化法》配套实施细则要求建立统一成果转化信息登记与报送机制。广东省同步推进医疗卫生大数据标准化建设，发布《广东省健康医疗数据安全分类分级管理技术规范》，搭建省级医学科技成果转化监测管理平台，迫切需要配套统一数据集标准，支撑全省医疗机构成果数据统一汇交、跨网安全交换、成果转化成效量化评估。</w:t>
      </w:r>
    </w:p>
    <w:p w14:paraId="103260E3">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同时，医疗科研成果包含专利、临床技术、受试者相关衍生数据等敏感信息，跨机构、跨行业流转过程中需依托标准化数据集实现分级分类脱敏、权限管控、审计追溯。本数据集标准可与《健康医疗信息 跨网数据交换安全技术要求》配套落地，为医保、卫健、市场监管、知识产权管理部门跨网调取、统计、监管医学科研转化数据提供统一数据格式依据，规范成果转化数据系统开发、数据上报、跨域交换全流程，保障数据合法、合规、安全、有序流通，对完善全省医疗科技创新数据要素市场、强化科研知识产权管理、优化医疗产业创新政策制定具有重要现实意义。</w:t>
      </w:r>
    </w:p>
    <w:p w14:paraId="77BBAB6B">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二、工作简况</w:t>
      </w:r>
    </w:p>
    <w:p w14:paraId="75AC2898">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楷体" w:hAnsi="楷体" w:eastAsia="楷体" w:cs="Times New Roman"/>
          <w:b/>
          <w:sz w:val="28"/>
          <w:szCs w:val="28"/>
        </w:rPr>
      </w:pPr>
      <w:r>
        <w:rPr>
          <w:rFonts w:hint="eastAsia" w:ascii="楷体" w:hAnsi="楷体" w:eastAsia="楷体" w:cs="Times New Roman"/>
          <w:b/>
          <w:sz w:val="28"/>
          <w:szCs w:val="28"/>
        </w:rPr>
        <w:t>（一）任务来源</w:t>
      </w:r>
    </w:p>
    <w:p w14:paraId="3E15029E">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近年来，国家及广东省持续加力推动科研成果转化。2025年12月，省工信厅联合12厅局印发《广东省促进医疗机构科技成果转化工作指引》，明确由省卫健委牵头，依托数据采集与全流程指导服务，加强医学成果数据管理及资源开发利用，全面支撑医疗机构成果转化。</w:t>
      </w:r>
    </w:p>
    <w:p w14:paraId="689E51D1">
      <w:pPr>
        <w:pageBreakBefore w:val="0"/>
        <w:kinsoku/>
        <w:wordWrap/>
        <w:overflowPunct/>
        <w:topLinePunct w:val="0"/>
        <w:autoSpaceDE/>
        <w:autoSpaceDN/>
        <w:bidi w:val="0"/>
        <w:adjustRightInd w:val="0"/>
        <w:snapToGrid w:val="0"/>
        <w:spacing w:line="520" w:lineRule="exact"/>
        <w:ind w:left="1" w:firstLine="560" w:firstLineChars="200"/>
        <w:textAlignment w:val="auto"/>
      </w:pPr>
      <w:r>
        <w:rPr>
          <w:rFonts w:hint="eastAsia" w:ascii="仿宋_GB2312" w:hAnsi="Times New Roman" w:eastAsia="仿宋_GB2312" w:cs="Times New Roman"/>
          <w:sz w:val="28"/>
          <w:szCs w:val="28"/>
        </w:rPr>
        <w:t>受省卫健委委托，由省事务中心牵头，广东省人民医院、中山大学附属口腔医院、中山大学附属第一医院、广东省妇幼保健院、佛山市第一人民医院、中山大学附属第六医院、东莞市第六人民医院、健康数据（北京）科技有限公司等单位共同起草，开展调研、起草、论证、完善工作，2026年3月完成标准草稿，6月2</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日完成征求意见稿。</w:t>
      </w:r>
    </w:p>
    <w:p w14:paraId="1CB5AFD8">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楷体" w:hAnsi="楷体" w:eastAsia="楷体" w:cs="Times New Roman"/>
          <w:b/>
          <w:sz w:val="28"/>
          <w:szCs w:val="28"/>
        </w:rPr>
      </w:pPr>
      <w:r>
        <w:rPr>
          <w:rFonts w:hint="eastAsia" w:ascii="楷体" w:hAnsi="楷体" w:eastAsia="楷体" w:cs="Times New Roman"/>
          <w:b/>
          <w:sz w:val="28"/>
          <w:szCs w:val="28"/>
        </w:rPr>
        <w:t>（二）项目主要工作过程</w:t>
      </w:r>
    </w:p>
    <w:p w14:paraId="0127C10C">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1.标准草案形成阶段</w:t>
      </w:r>
    </w:p>
    <w:p w14:paraId="6D259916">
      <w:pPr>
        <w:pageBreakBefore w:val="0"/>
        <w:kinsoku/>
        <w:wordWrap/>
        <w:overflowPunct/>
        <w:topLinePunct w:val="0"/>
        <w:autoSpaceDE/>
        <w:autoSpaceDN/>
        <w:bidi w:val="0"/>
        <w:adjustRightInd w:val="0"/>
        <w:snapToGrid w:val="0"/>
        <w:spacing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w:t>
      </w:r>
      <w:r>
        <w:rPr>
          <w:rFonts w:ascii="仿宋_GB2312" w:hAnsi="Times New Roman" w:eastAsia="仿宋_GB2312" w:cs="Times New Roman"/>
          <w:sz w:val="28"/>
          <w:szCs w:val="28"/>
        </w:rPr>
        <w:t>26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月至</w:t>
      </w:r>
      <w:r>
        <w:rPr>
          <w:rFonts w:ascii="仿宋_GB2312" w:hAnsi="Times New Roman" w:eastAsia="仿宋_GB2312" w:cs="Times New Roman"/>
          <w:sz w:val="28"/>
          <w:szCs w:val="28"/>
        </w:rPr>
        <w:t>3</w:t>
      </w:r>
      <w:r>
        <w:rPr>
          <w:rFonts w:hint="eastAsia" w:ascii="仿宋_GB2312" w:hAnsi="Times New Roman" w:eastAsia="仿宋_GB2312" w:cs="Times New Roman"/>
          <w:sz w:val="28"/>
          <w:szCs w:val="28"/>
        </w:rPr>
        <w:t>月，成立标准起草组，明确各方分工，完成标准总体架构设计，完成大纲评审，于202</w:t>
      </w:r>
      <w:r>
        <w:rPr>
          <w:rFonts w:ascii="仿宋_GB2312" w:hAnsi="Times New Roman" w:eastAsia="仿宋_GB2312" w:cs="Times New Roman"/>
          <w:sz w:val="28"/>
          <w:szCs w:val="28"/>
        </w:rPr>
        <w:t>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3</w:t>
      </w:r>
      <w:r>
        <w:rPr>
          <w:rFonts w:hint="eastAsia" w:ascii="仿宋_GB2312" w:hAnsi="Times New Roman" w:eastAsia="仿宋_GB2312" w:cs="Times New Roman"/>
          <w:sz w:val="28"/>
          <w:szCs w:val="28"/>
        </w:rPr>
        <w:t>月形成了标准初稿。</w:t>
      </w:r>
    </w:p>
    <w:p w14:paraId="566ED5E1">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2、标准征求意见稿形成阶段</w:t>
      </w:r>
    </w:p>
    <w:p w14:paraId="0EA9077F">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w:t>
      </w:r>
      <w:r>
        <w:rPr>
          <w:rFonts w:ascii="仿宋_GB2312" w:hAnsi="Times New Roman" w:eastAsia="仿宋_GB2312" w:cs="Times New Roman"/>
          <w:sz w:val="28"/>
          <w:szCs w:val="28"/>
        </w:rPr>
        <w:t>26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4</w:t>
      </w:r>
      <w:r>
        <w:rPr>
          <w:rFonts w:hint="eastAsia" w:ascii="仿宋_GB2312" w:hAnsi="Times New Roman" w:eastAsia="仿宋_GB2312" w:cs="Times New Roman"/>
          <w:sz w:val="28"/>
          <w:szCs w:val="28"/>
        </w:rPr>
        <w:t>月至</w:t>
      </w:r>
      <w:r>
        <w:rPr>
          <w:rFonts w:ascii="仿宋_GB2312" w:hAnsi="Times New Roman" w:eastAsia="仿宋_GB2312" w:cs="Times New Roman"/>
          <w:sz w:val="28"/>
          <w:szCs w:val="28"/>
        </w:rPr>
        <w:t>5</w:t>
      </w:r>
      <w:r>
        <w:rPr>
          <w:rFonts w:hint="eastAsia" w:ascii="仿宋_GB2312" w:hAnsi="Times New Roman" w:eastAsia="仿宋_GB2312" w:cs="Times New Roman"/>
          <w:sz w:val="28"/>
          <w:szCs w:val="28"/>
        </w:rPr>
        <w:t>月，完成内容撰写与初稿形成，基于现已完成的数据元标准（草案），撰写标准正文，形成征求意见稿初稿，并于6月完成专家内审。</w:t>
      </w:r>
    </w:p>
    <w:p w14:paraId="4FBE7D06">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三、标准编制原则、主要内容及确定依据</w:t>
      </w:r>
    </w:p>
    <w:p w14:paraId="59CF4065">
      <w:pPr>
        <w:pageBreakBefore w:val="0"/>
        <w:kinsoku/>
        <w:wordWrap/>
        <w:overflowPunct/>
        <w:topLinePunct w:val="0"/>
        <w:autoSpaceDE/>
        <w:autoSpaceDN/>
        <w:bidi w:val="0"/>
        <w:adjustRightInd w:val="0"/>
        <w:snapToGrid w:val="0"/>
        <w:spacing w:before="156" w:beforeLines="50" w:after="156" w:afterLines="50" w:line="520" w:lineRule="exact"/>
        <w:ind w:firstLine="422" w:firstLineChars="150"/>
        <w:textAlignment w:val="auto"/>
        <w:outlineLvl w:val="0"/>
        <w:rPr>
          <w:rFonts w:ascii="楷体" w:hAnsi="楷体" w:eastAsia="楷体" w:cs="Times New Roman"/>
          <w:b/>
          <w:sz w:val="28"/>
          <w:szCs w:val="28"/>
        </w:rPr>
      </w:pPr>
      <w:r>
        <w:rPr>
          <w:rFonts w:hint="eastAsia" w:ascii="楷体" w:hAnsi="楷体" w:eastAsia="楷体" w:cs="Times New Roman"/>
          <w:b/>
          <w:sz w:val="28"/>
          <w:szCs w:val="28"/>
        </w:rPr>
        <w:t>（一）标准编制原则</w:t>
      </w:r>
    </w:p>
    <w:p w14:paraId="7EE64E23">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（1）遵循国家有关政策、方针、法规和规章；</w:t>
      </w:r>
    </w:p>
    <w:p w14:paraId="645080AF">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（2）标准格式严格按照GB/T 1.1的要求进行编写；</w:t>
      </w:r>
    </w:p>
    <w:p w14:paraId="7F65B008">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（3）注重标准的适用性。结合我国、我省及医疗卫生行业实情，充分参考国家相关政策方针、国家标准、行业规范和标准的要求，考虑其与国家政策方针、相关标准相协调和衔接；</w:t>
      </w:r>
    </w:p>
    <w:p w14:paraId="7B1F29C6">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（4）注重标准的科学性和可操作性。</w:t>
      </w:r>
    </w:p>
    <w:p w14:paraId="75928F55">
      <w:pPr>
        <w:pageBreakBefore w:val="0"/>
        <w:kinsoku/>
        <w:wordWrap/>
        <w:overflowPunct/>
        <w:topLinePunct w:val="0"/>
        <w:autoSpaceDE/>
        <w:autoSpaceDN/>
        <w:bidi w:val="0"/>
        <w:adjustRightInd w:val="0"/>
        <w:snapToGrid w:val="0"/>
        <w:spacing w:before="156" w:beforeLines="50" w:after="156" w:afterLines="50" w:line="520" w:lineRule="exact"/>
        <w:ind w:firstLine="422" w:firstLineChars="150"/>
        <w:textAlignment w:val="auto"/>
        <w:outlineLvl w:val="0"/>
        <w:rPr>
          <w:rFonts w:ascii="楷体" w:hAnsi="楷体" w:eastAsia="楷体" w:cs="Times New Roman"/>
          <w:b/>
          <w:sz w:val="28"/>
          <w:szCs w:val="28"/>
        </w:rPr>
      </w:pPr>
      <w:r>
        <w:rPr>
          <w:rFonts w:hint="eastAsia" w:ascii="楷体" w:hAnsi="楷体" w:eastAsia="楷体" w:cs="Times New Roman"/>
          <w:b/>
          <w:sz w:val="28"/>
          <w:szCs w:val="28"/>
        </w:rPr>
        <w:t>（二）标准主要内容及确定依据</w:t>
      </w:r>
    </w:p>
    <w:p w14:paraId="12919A35">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完整包含范围、规范性引用文件、术语和定义、数据元数据属性、数据元公用属性、数据元专用属性，配套完整数据元表格与标准索引，完整覆盖研究者发起临床研究从立项到成果转化全生命周期数据采集汇交需求。</w:t>
      </w:r>
    </w:p>
    <w:p w14:paraId="76D58D2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1、范围</w:t>
      </w:r>
    </w:p>
    <w:p w14:paraId="7994662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规定医学科研成果转化数据录入、汇交、存储、跨网交换的数据集规范、分类代码、数据元定义与值域编码要求；适用于全省各级医疗卫生机构、医学科研院所、医药相关企业、第三方知识产权服务机构开展成果转化数据系统开发、数据上报、跨行业数据共享工作。</w:t>
      </w:r>
    </w:p>
    <w:p w14:paraId="4D2002D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2、规范性引用文件</w:t>
      </w:r>
    </w:p>
    <w:p w14:paraId="6019EB1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引用文件覆盖标准化基础通用规范、卫生信息数据集国标行标、身份与行政区划编码、疾病分类、知识产权管理、医疗数据安全相关标准，核心文件包括：</w:t>
      </w:r>
    </w:p>
    <w:p w14:paraId="1C97BE3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1.1-2020 标准化工作导则 第1部分：标准化文件的结构和起草规则</w:t>
      </w:r>
    </w:p>
    <w:p w14:paraId="046A0234">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2260 中华人民共和国行政区划代码</w:t>
      </w:r>
    </w:p>
    <w:p w14:paraId="71E348C6">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2261.1-2003 个人基本信息分类与代码 第1部分：人的性别代码</w:t>
      </w:r>
    </w:p>
    <w:p w14:paraId="376BC38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3304-1991 中国各民族名称</w:t>
      </w:r>
    </w:p>
    <w:p w14:paraId="3C37CACF">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4658-2006 学历代码</w:t>
      </w:r>
    </w:p>
    <w:p w14:paraId="436C41B6">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GB/T 4761-2008 家庭关系代码</w:t>
      </w:r>
    </w:p>
    <w:p w14:paraId="2B21CD24">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WS 363.1-2011 卫生信息数据元目录 第1部分总则</w:t>
      </w:r>
    </w:p>
    <w:p w14:paraId="4AC7B8B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WS 364.1-2011 卫生信息数据元值域代码 第1部分总则</w:t>
      </w:r>
    </w:p>
    <w:p w14:paraId="6B07229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WS 370-2012 卫生信息基本数据集编制规范</w:t>
      </w:r>
    </w:p>
    <w:p w14:paraId="0BC8003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WS 445-2014 电子病历基本数据集</w:t>
      </w:r>
    </w:p>
    <w:p w14:paraId="12BBDD6C">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ICD-10 疾病和有关健康问题的国际统计分类第10版</w:t>
      </w:r>
    </w:p>
    <w:p w14:paraId="265D125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ICD-11 国际疾病分类第11版</w:t>
      </w:r>
    </w:p>
    <w:p w14:paraId="66769657">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3、术语和定义</w:t>
      </w:r>
    </w:p>
    <w:p w14:paraId="6E728362">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基于WS 370、WS 363.1现有卫生信息通用术语，新增核心定义医学科研成果转化数据，明确该数据包含成果本体信息、转化三方主体信息、合同支付信息、佐证文件四大类全流程业务记录，统一行业对成果转化数据边界的认知，消除数据统计口径歧义。</w:t>
      </w:r>
    </w:p>
    <w:p w14:paraId="51269F6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4、数据元数据属性</w:t>
      </w:r>
    </w:p>
    <w:p w14:paraId="6836B06F">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依据WS 370-2012数据集编制规范，设计标识信息子集、内容信息子集两大类元数据，明确数据集唯一标识符、发布主体、关键词、核心数据元清单、数据用途摘要，为省级平台统一识别、自动归集多机构成果数据提供基础标识规范。</w:t>
      </w:r>
    </w:p>
    <w:p w14:paraId="628B95CC">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30"/>
          <w:szCs w:val="30"/>
        </w:rPr>
      </w:pPr>
      <w:r>
        <w:rPr>
          <w:rFonts w:hint="eastAsia" w:ascii="Times New Roman" w:hAnsi="Times New Roman" w:eastAsia="仿宋_GB2312" w:cs="Times New Roman"/>
          <w:sz w:val="28"/>
          <w:szCs w:val="28"/>
        </w:rPr>
        <w:t>5、数据元公用属性</w:t>
      </w:r>
    </w:p>
    <w:p w14:paraId="5843B60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统一规定全部数据元通用版本、注册机构、分类模式、主管单位、提交机构等管理类字段，保障全省数据集版本统一、可溯源管理。</w:t>
      </w:r>
    </w:p>
    <w:p w14:paraId="08DF4A6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6、数据元专用属性（标准核心主体）</w:t>
      </w:r>
    </w:p>
    <w:p w14:paraId="464EAA5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数据元专用属性为标准核心内容，按照业务模块拆分五大板块：</w:t>
      </w:r>
    </w:p>
    <w:p w14:paraId="52E8983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（1）转化成果信息：包含成果基础类型、专利信息、软件著作权信息，覆盖知识产权登记、研发依托项目、获奖、转化意愿等全维度字段；</w:t>
      </w:r>
    </w:p>
    <w:p w14:paraId="4024C8C1">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（2）转化方信息：分为甲方（医疗机构研发方）、乙方（受让 / 被许可企业）、丙方（第三方中介机构）三类主体信息，明确单位、负责人、联系方式、定价交易、收益分成、内部审批等业务字段；</w:t>
      </w:r>
    </w:p>
    <w:p w14:paraId="5E366C3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）合同及支付信息：规范合同金额、支付模式、分阶段付款、资金分成、转账凭证等财务数据元；</w:t>
      </w:r>
    </w:p>
    <w:p w14:paraId="68E2DE49">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（4）上传文件信息：统一转化业务全部纸质扫描件、证明材料的二进制文件存储、上传字段规范；</w:t>
      </w:r>
    </w:p>
    <w:p w14:paraId="7936FCA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各数据元统一规定内部标识符、数据元标识符、名称、定义、数据类型、表示格式、值域代码，所有编码结合医疗行业、知识产权行业通用编码规则制定。</w:t>
      </w:r>
    </w:p>
    <w:p w14:paraId="1ED1EF4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7</w:t>
      </w:r>
      <w:r>
        <w:rPr>
          <w:rFonts w:hint="eastAsia" w:ascii="Times New Roman" w:hAnsi="Times New Roman" w:eastAsia="仿宋_GB2312" w:cs="Times New Roman"/>
          <w:sz w:val="28"/>
          <w:szCs w:val="28"/>
        </w:rPr>
        <w:t>、索引</w:t>
      </w:r>
    </w:p>
    <w:p w14:paraId="343ED7C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按照拼音首字母对全部数据元名称与内部标识符建立对应索引，方便系统开发人员、科研管理人员快速检索、查阅对应字段，提升标准落地使用效率。</w:t>
      </w:r>
    </w:p>
    <w:p w14:paraId="164B9BD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8</w:t>
      </w:r>
      <w:r>
        <w:rPr>
          <w:rFonts w:hint="eastAsia" w:ascii="Times New Roman" w:hAnsi="Times New Roman" w:eastAsia="仿宋_GB2312" w:cs="Times New Roman"/>
          <w:sz w:val="28"/>
          <w:szCs w:val="28"/>
        </w:rPr>
        <w:t>、标准内容制定核心依据</w:t>
      </w:r>
    </w:p>
    <w:p w14:paraId="76FAB36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本数据集全部字段、编码、元数据规则主要依据：WS系列卫生信息数据集国家标准、《专利登记相关数据规范》《计算机软件著作权登记办法》、T/GDWJ 013广东省健康医疗数据分级分类标准，同时匹配《健康医疗信息 跨网数据交换安全技术要求》中跨机构数据接口、内容校验、附件传输安全相关技术框架，兼容广东省全民健康信息平台、省级医学科技成果转化监测平台现有接口规范，确保标准化数据可直接实现跨网安全交换。</w:t>
      </w:r>
    </w:p>
    <w:p w14:paraId="110E3ED1">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四、与国内外法律、法规和标准相关情况的说明</w:t>
      </w:r>
    </w:p>
    <w:p w14:paraId="31FC48EA">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（一）国外相关标准现状</w:t>
      </w:r>
    </w:p>
    <w:p w14:paraId="36861625">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国外发达国家针对生物医药科研成果、知识产权交易数据已形成成熟标准化体系：美国NIST系列标准明确科研数据跨机构交换元数据规范，对专利、技术许可交易主体、资金、权属信息统一字段定义；欧盟GDPR、ISO/IEC 27001针对科研敏感个人衍生成果数据，配套数据汇交、脱敏、共享约束规则；欧美医疗科研机构普遍采用统一成果转化数据集支撑产学研数据互通，重点规范知识产权权属、交易合同、收益分配标准化记录，为本标准数据元分类、主体信息设计提供参考思路。</w:t>
      </w:r>
    </w:p>
    <w:p w14:paraId="510C5AD0">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（二）国内相关法规</w:t>
      </w:r>
      <w:bookmarkStart w:id="0" w:name="_GoBack"/>
      <w:bookmarkEnd w:id="0"/>
      <w:r>
        <w:rPr>
          <w:rFonts w:hint="eastAsia" w:ascii="Times New Roman" w:hAnsi="Times New Roman" w:eastAsia="仿宋_GB2312" w:cs="Times New Roman"/>
          <w:sz w:val="28"/>
          <w:szCs w:val="28"/>
        </w:rPr>
        <w:t>、标准现状</w:t>
      </w:r>
    </w:p>
    <w:p w14:paraId="6204C171">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国内科技领域、卫生健康领域标准化建设处于加速完善阶段：科技部出台科技成果登记数据规范，明确通用成果转化基础字段；卫生健康行业已发布电子病历、健康档案、远程医疗等多套WS数据集标准，但暂无专门针对医学科研成果转化的专项基础数据集，医疗领域专利、软著、产学研交易数据长期缺少行业统一规范；国卫规划发〔2022〕29号、2023年19号文件明确要求完善卫生健康数据标准体系、推进数据互通共享，行业存在标准空白。</w:t>
      </w:r>
    </w:p>
    <w:p w14:paraId="2EBE09B8">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同时，《信息安全技术 健康医疗数据安全指南》《民用航空跨网数据交换安全技术要求》、电子政务跨网交换标准，为本数据集配套的数据安全、跨域交换字段设计提供合规依据。</w:t>
      </w:r>
    </w:p>
    <w:p w14:paraId="4B879AD4">
      <w:pPr>
        <w:pStyle w:val="2"/>
        <w:pageBreakBefore w:val="0"/>
        <w:kinsoku/>
        <w:wordWrap/>
        <w:overflowPunct/>
        <w:topLinePunct w:val="0"/>
        <w:autoSpaceDE/>
        <w:autoSpaceDN/>
        <w:bidi w:val="0"/>
        <w:adjustRightInd w:val="0"/>
        <w:snapToGrid w:val="0"/>
        <w:spacing w:before="156" w:beforeLines="50" w:after="156" w:afterLines="50" w:line="520" w:lineRule="exact"/>
        <w:textAlignment w:val="auto"/>
      </w:pPr>
      <w:r>
        <w:rPr>
          <w:rFonts w:hint="eastAsia"/>
        </w:rPr>
        <w:t>五、其他需要说明的问题</w:t>
      </w:r>
    </w:p>
    <w:p w14:paraId="2C4B9FB1">
      <w:pPr>
        <w:pageBreakBefore w:val="0"/>
        <w:kinsoku/>
        <w:wordWrap/>
        <w:overflowPunct/>
        <w:topLinePunct w:val="0"/>
        <w:autoSpaceDE/>
        <w:autoSpaceDN/>
        <w:bidi w:val="0"/>
        <w:adjustRightInd w:val="0"/>
        <w:snapToGrid w:val="0"/>
        <w:spacing w:line="520" w:lineRule="exact"/>
        <w:ind w:firstLine="495"/>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本标准技术内容不涉及专利。</w:t>
      </w:r>
    </w:p>
    <w:p w14:paraId="6297216C">
      <w:pPr>
        <w:pageBreakBefore w:val="0"/>
        <w:kinsoku/>
        <w:wordWrap/>
        <w:overflowPunct/>
        <w:topLinePunct w:val="0"/>
        <w:autoSpaceDE/>
        <w:autoSpaceDN/>
        <w:bidi w:val="0"/>
        <w:adjustRightInd w:val="0"/>
        <w:snapToGrid w:val="0"/>
        <w:spacing w:line="520" w:lineRule="exact"/>
        <w:ind w:firstLine="495"/>
        <w:textAlignment w:val="auto"/>
      </w:pPr>
      <w:r>
        <w:rPr>
          <w:rFonts w:hint="eastAsia" w:ascii="Times New Roman" w:hAnsi="Times New Roman" w:eastAsia="仿宋_GB2312" w:cs="Times New Roman"/>
          <w:sz w:val="28"/>
          <w:szCs w:val="28"/>
        </w:rPr>
        <w:t>本标准技术内容是推荐性，并作为团体标准发布，本标准在发布后即开始实施。</w:t>
      </w:r>
    </w:p>
    <w:p w14:paraId="5AEA0D44">
      <w:pPr>
        <w:pageBreakBefore w:val="0"/>
        <w:widowControl/>
        <w:kinsoku/>
        <w:wordWrap/>
        <w:overflowPunct/>
        <w:topLinePunct w:val="0"/>
        <w:autoSpaceDE/>
        <w:autoSpaceDN/>
        <w:bidi w:val="0"/>
        <w:adjustRightInd w:val="0"/>
        <w:snapToGrid w:val="0"/>
        <w:spacing w:line="520" w:lineRule="exact"/>
        <w:ind w:left="425" w:firstLine="200"/>
        <w:jc w:val="left"/>
        <w:textAlignment w:val="auto"/>
        <w:rPr>
          <w:rFonts w:ascii="Times New Roman" w:hAnsi="Times New Roman" w:eastAsia="仿宋_GB2312" w:cs="Times New Roman"/>
          <w:sz w:val="28"/>
          <w:szCs w:val="28"/>
        </w:rPr>
      </w:pPr>
      <w:r>
        <w:rPr>
          <w:rFonts w:hint="eastAsia"/>
        </w:rPr>
        <w:t xml:space="preserve">       </w:t>
      </w:r>
      <w:r>
        <w:t xml:space="preserve">                    </w:t>
      </w:r>
      <w:r>
        <w:rPr>
          <w:rFonts w:hint="eastAsia"/>
        </w:rPr>
        <w:t xml:space="preserve">   </w:t>
      </w:r>
      <w:r>
        <w:rPr>
          <w:rFonts w:hint="eastAsia" w:ascii="Times New Roman" w:hAnsi="Times New Roman" w:eastAsia="仿宋_GB2312" w:cs="Times New Roman"/>
          <w:sz w:val="28"/>
          <w:szCs w:val="28"/>
        </w:rPr>
        <w:t>广东省卫生健康委员会事务中心</w:t>
      </w:r>
    </w:p>
    <w:p w14:paraId="600BCC28">
      <w:pPr>
        <w:pageBreakBefore w:val="0"/>
        <w:widowControl/>
        <w:kinsoku/>
        <w:wordWrap/>
        <w:overflowPunct/>
        <w:topLinePunct w:val="0"/>
        <w:autoSpaceDE/>
        <w:autoSpaceDN/>
        <w:bidi w:val="0"/>
        <w:adjustRightInd w:val="0"/>
        <w:snapToGrid w:val="0"/>
        <w:spacing w:line="520" w:lineRule="exact"/>
        <w:ind w:left="425" w:firstLine="200"/>
        <w:jc w:val="left"/>
        <w:textAlignment w:val="auto"/>
        <w:rPr>
          <w:rFonts w:ascii="Times New Roman" w:hAnsi="Times New Roman" w:eastAsia="仿宋_GB2312" w:cs="Times New Roman"/>
          <w:sz w:val="28"/>
          <w:szCs w:val="28"/>
        </w:rPr>
      </w:pPr>
      <w:r>
        <w:rPr>
          <w:rFonts w:hint="eastAsia"/>
        </w:rPr>
        <w:t xml:space="preserve">                                       </w:t>
      </w:r>
      <w:r>
        <w:rPr>
          <w:rFonts w:hint="eastAsia" w:ascii="Times New Roman" w:hAnsi="Times New Roman" w:eastAsia="仿宋_GB2312" w:cs="Times New Roman"/>
          <w:sz w:val="28"/>
          <w:szCs w:val="28"/>
        </w:rPr>
        <w:t xml:space="preserve">  202</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年</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月</w:t>
      </w:r>
    </w:p>
    <w:sectPr>
      <w:footerReference r:id="rId5" w:type="firs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54CB39-6FEB-4C79-A388-4FA0406070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16C0493-09B9-4BC7-9971-033C8C9DC36C}"/>
  </w:font>
  <w:font w:name="方正小标宋简体">
    <w:panose1 w:val="02000000000000000000"/>
    <w:charset w:val="86"/>
    <w:family w:val="auto"/>
    <w:pitch w:val="default"/>
    <w:sig w:usb0="A00002BF" w:usb1="184F6CFA" w:usb2="00000012" w:usb3="00000000" w:csb0="00040001" w:csb1="00000000"/>
    <w:embedRegular r:id="rId3" w:fontKey="{9F683914-C5AE-4E78-81A7-55FDA7A7C118}"/>
  </w:font>
  <w:font w:name="楷体">
    <w:panose1 w:val="02010609060101010101"/>
    <w:charset w:val="86"/>
    <w:family w:val="modern"/>
    <w:pitch w:val="default"/>
    <w:sig w:usb0="800002BF" w:usb1="38CF7CFA" w:usb2="00000016" w:usb3="00000000" w:csb0="00040001" w:csb1="00000000"/>
    <w:embedRegular r:id="rId4" w:fontKey="{C962113E-BC49-4210-B800-3534F0F00F7D}"/>
  </w:font>
  <w:font w:name="仿宋_GB2312">
    <w:panose1 w:val="02010609030101010101"/>
    <w:charset w:val="86"/>
    <w:family w:val="modern"/>
    <w:pitch w:val="default"/>
    <w:sig w:usb0="00000001" w:usb1="080E0000" w:usb2="00000000" w:usb3="00000000" w:csb0="00040000" w:csb1="00000000"/>
    <w:embedRegular r:id="rId5" w:fontKey="{8B297633-3107-4745-9929-73AB8CDBDE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7559596"/>
      <w:docPartObj>
        <w:docPartGallery w:val="autotext"/>
      </w:docPartObj>
    </w:sdtPr>
    <w:sdtContent>
      <w:p w14:paraId="28E344F7">
        <w:pPr>
          <w:pStyle w:val="7"/>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3809">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366774"/>
      <w:docPartObj>
        <w:docPartGallery w:val="autotext"/>
      </w:docPartObj>
    </w:sdtPr>
    <w:sdtContent>
      <w:p w14:paraId="46105D26">
        <w:pPr>
          <w:pStyle w:val="7"/>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EE2"/>
    <w:rsid w:val="00003F0E"/>
    <w:rsid w:val="00014363"/>
    <w:rsid w:val="000150B4"/>
    <w:rsid w:val="00053669"/>
    <w:rsid w:val="00054307"/>
    <w:rsid w:val="00061E91"/>
    <w:rsid w:val="000676D2"/>
    <w:rsid w:val="00090246"/>
    <w:rsid w:val="00096D4A"/>
    <w:rsid w:val="000A2D90"/>
    <w:rsid w:val="000B1C43"/>
    <w:rsid w:val="000C7AF8"/>
    <w:rsid w:val="000D130D"/>
    <w:rsid w:val="000E41D7"/>
    <w:rsid w:val="000E6BCD"/>
    <w:rsid w:val="000E71F1"/>
    <w:rsid w:val="000F2E3B"/>
    <w:rsid w:val="001064D8"/>
    <w:rsid w:val="001068EE"/>
    <w:rsid w:val="001069C1"/>
    <w:rsid w:val="00111E94"/>
    <w:rsid w:val="0012390D"/>
    <w:rsid w:val="00123FA2"/>
    <w:rsid w:val="001363B8"/>
    <w:rsid w:val="00154CF0"/>
    <w:rsid w:val="00157AAD"/>
    <w:rsid w:val="001710A7"/>
    <w:rsid w:val="00180206"/>
    <w:rsid w:val="00180814"/>
    <w:rsid w:val="00182DBF"/>
    <w:rsid w:val="001836B6"/>
    <w:rsid w:val="00197EE6"/>
    <w:rsid w:val="001A071B"/>
    <w:rsid w:val="001A2786"/>
    <w:rsid w:val="001B089D"/>
    <w:rsid w:val="001B58FE"/>
    <w:rsid w:val="001B5939"/>
    <w:rsid w:val="001C43FC"/>
    <w:rsid w:val="001D435F"/>
    <w:rsid w:val="001E4A66"/>
    <w:rsid w:val="001E51D4"/>
    <w:rsid w:val="001E5C6D"/>
    <w:rsid w:val="001F4197"/>
    <w:rsid w:val="001F692F"/>
    <w:rsid w:val="001F7254"/>
    <w:rsid w:val="00200B50"/>
    <w:rsid w:val="00204A0D"/>
    <w:rsid w:val="00210933"/>
    <w:rsid w:val="00211EBC"/>
    <w:rsid w:val="002219DB"/>
    <w:rsid w:val="00231625"/>
    <w:rsid w:val="00231F14"/>
    <w:rsid w:val="00243E3F"/>
    <w:rsid w:val="002628DA"/>
    <w:rsid w:val="00270B1C"/>
    <w:rsid w:val="00274E29"/>
    <w:rsid w:val="00284018"/>
    <w:rsid w:val="002957B2"/>
    <w:rsid w:val="002A4D74"/>
    <w:rsid w:val="002A58DA"/>
    <w:rsid w:val="002E0ADD"/>
    <w:rsid w:val="002E587A"/>
    <w:rsid w:val="00311EB6"/>
    <w:rsid w:val="003170A4"/>
    <w:rsid w:val="00323650"/>
    <w:rsid w:val="00355679"/>
    <w:rsid w:val="00357494"/>
    <w:rsid w:val="003641F6"/>
    <w:rsid w:val="00365488"/>
    <w:rsid w:val="00366268"/>
    <w:rsid w:val="00367D2C"/>
    <w:rsid w:val="00371714"/>
    <w:rsid w:val="00384A13"/>
    <w:rsid w:val="00385565"/>
    <w:rsid w:val="00390B9D"/>
    <w:rsid w:val="0039434A"/>
    <w:rsid w:val="003B5E39"/>
    <w:rsid w:val="003C0CB8"/>
    <w:rsid w:val="003D2B31"/>
    <w:rsid w:val="003D7A82"/>
    <w:rsid w:val="003F37C6"/>
    <w:rsid w:val="004030FF"/>
    <w:rsid w:val="00403EF6"/>
    <w:rsid w:val="00405EE2"/>
    <w:rsid w:val="004206B0"/>
    <w:rsid w:val="00423368"/>
    <w:rsid w:val="00430779"/>
    <w:rsid w:val="00441359"/>
    <w:rsid w:val="0044419D"/>
    <w:rsid w:val="00450490"/>
    <w:rsid w:val="004601C6"/>
    <w:rsid w:val="00460B61"/>
    <w:rsid w:val="00462ACF"/>
    <w:rsid w:val="00464333"/>
    <w:rsid w:val="00467A18"/>
    <w:rsid w:val="004706FF"/>
    <w:rsid w:val="00473973"/>
    <w:rsid w:val="00483E3A"/>
    <w:rsid w:val="00495657"/>
    <w:rsid w:val="004968D4"/>
    <w:rsid w:val="00497279"/>
    <w:rsid w:val="004B0BDB"/>
    <w:rsid w:val="004B19C6"/>
    <w:rsid w:val="004C4215"/>
    <w:rsid w:val="004E4A9B"/>
    <w:rsid w:val="0050206C"/>
    <w:rsid w:val="00504A85"/>
    <w:rsid w:val="005208EA"/>
    <w:rsid w:val="0052736E"/>
    <w:rsid w:val="005308D2"/>
    <w:rsid w:val="00537A70"/>
    <w:rsid w:val="00546026"/>
    <w:rsid w:val="00553F5B"/>
    <w:rsid w:val="00554054"/>
    <w:rsid w:val="00572824"/>
    <w:rsid w:val="0057799D"/>
    <w:rsid w:val="00582C74"/>
    <w:rsid w:val="0058651B"/>
    <w:rsid w:val="00590CCF"/>
    <w:rsid w:val="005932A3"/>
    <w:rsid w:val="00593741"/>
    <w:rsid w:val="00597A82"/>
    <w:rsid w:val="005A3D5F"/>
    <w:rsid w:val="005A407E"/>
    <w:rsid w:val="005A76F3"/>
    <w:rsid w:val="005C6E8E"/>
    <w:rsid w:val="005E204D"/>
    <w:rsid w:val="005E5980"/>
    <w:rsid w:val="006164E4"/>
    <w:rsid w:val="006242C4"/>
    <w:rsid w:val="006275BD"/>
    <w:rsid w:val="00634E0F"/>
    <w:rsid w:val="00643C86"/>
    <w:rsid w:val="00653C21"/>
    <w:rsid w:val="00655EA7"/>
    <w:rsid w:val="006568CD"/>
    <w:rsid w:val="00657095"/>
    <w:rsid w:val="006611D5"/>
    <w:rsid w:val="006673DE"/>
    <w:rsid w:val="00670E24"/>
    <w:rsid w:val="00680B43"/>
    <w:rsid w:val="006849E4"/>
    <w:rsid w:val="006A0D23"/>
    <w:rsid w:val="006A246E"/>
    <w:rsid w:val="006B0716"/>
    <w:rsid w:val="006C5DEE"/>
    <w:rsid w:val="006F1804"/>
    <w:rsid w:val="006F2A8E"/>
    <w:rsid w:val="006F3131"/>
    <w:rsid w:val="006F3446"/>
    <w:rsid w:val="006F3F2C"/>
    <w:rsid w:val="006F5C16"/>
    <w:rsid w:val="0070301A"/>
    <w:rsid w:val="00710B32"/>
    <w:rsid w:val="007153A3"/>
    <w:rsid w:val="007228B3"/>
    <w:rsid w:val="007337C1"/>
    <w:rsid w:val="00742642"/>
    <w:rsid w:val="00745BD5"/>
    <w:rsid w:val="00751251"/>
    <w:rsid w:val="00752389"/>
    <w:rsid w:val="00754F9C"/>
    <w:rsid w:val="00755BDF"/>
    <w:rsid w:val="007746D7"/>
    <w:rsid w:val="0077623F"/>
    <w:rsid w:val="00780FD7"/>
    <w:rsid w:val="00791F4B"/>
    <w:rsid w:val="007A73DB"/>
    <w:rsid w:val="007C1DF1"/>
    <w:rsid w:val="007C4BE7"/>
    <w:rsid w:val="007D7C5A"/>
    <w:rsid w:val="007E1A7A"/>
    <w:rsid w:val="007E2086"/>
    <w:rsid w:val="007E2D8D"/>
    <w:rsid w:val="007F1E84"/>
    <w:rsid w:val="007F6310"/>
    <w:rsid w:val="0080495A"/>
    <w:rsid w:val="00804B48"/>
    <w:rsid w:val="00831B8F"/>
    <w:rsid w:val="008416C9"/>
    <w:rsid w:val="00850BD7"/>
    <w:rsid w:val="008564AC"/>
    <w:rsid w:val="0085744F"/>
    <w:rsid w:val="008628C7"/>
    <w:rsid w:val="00864A21"/>
    <w:rsid w:val="0086676E"/>
    <w:rsid w:val="00870887"/>
    <w:rsid w:val="0088246F"/>
    <w:rsid w:val="00893475"/>
    <w:rsid w:val="00894A34"/>
    <w:rsid w:val="008A5048"/>
    <w:rsid w:val="008B7902"/>
    <w:rsid w:val="008D0E1E"/>
    <w:rsid w:val="008D4438"/>
    <w:rsid w:val="008D4AFF"/>
    <w:rsid w:val="008E1FC3"/>
    <w:rsid w:val="008E2AD1"/>
    <w:rsid w:val="008F2934"/>
    <w:rsid w:val="009010E1"/>
    <w:rsid w:val="00911E40"/>
    <w:rsid w:val="00913045"/>
    <w:rsid w:val="00914675"/>
    <w:rsid w:val="00926039"/>
    <w:rsid w:val="00944EF8"/>
    <w:rsid w:val="00946486"/>
    <w:rsid w:val="009475F5"/>
    <w:rsid w:val="00950DDB"/>
    <w:rsid w:val="0095323C"/>
    <w:rsid w:val="00980F59"/>
    <w:rsid w:val="00982657"/>
    <w:rsid w:val="00992E45"/>
    <w:rsid w:val="009A688F"/>
    <w:rsid w:val="009B1049"/>
    <w:rsid w:val="009B3170"/>
    <w:rsid w:val="009B73F7"/>
    <w:rsid w:val="009C0060"/>
    <w:rsid w:val="009F2BDC"/>
    <w:rsid w:val="009F34A1"/>
    <w:rsid w:val="00A012DA"/>
    <w:rsid w:val="00A0234A"/>
    <w:rsid w:val="00A21200"/>
    <w:rsid w:val="00A242C2"/>
    <w:rsid w:val="00A27413"/>
    <w:rsid w:val="00A32C1E"/>
    <w:rsid w:val="00A370B6"/>
    <w:rsid w:val="00A639B3"/>
    <w:rsid w:val="00A665E4"/>
    <w:rsid w:val="00AA05A2"/>
    <w:rsid w:val="00AB576F"/>
    <w:rsid w:val="00AC4881"/>
    <w:rsid w:val="00AD76D7"/>
    <w:rsid w:val="00AF09DA"/>
    <w:rsid w:val="00AF33DF"/>
    <w:rsid w:val="00B032D2"/>
    <w:rsid w:val="00B06B3D"/>
    <w:rsid w:val="00B06CF4"/>
    <w:rsid w:val="00B10178"/>
    <w:rsid w:val="00B109C2"/>
    <w:rsid w:val="00B20009"/>
    <w:rsid w:val="00B2675B"/>
    <w:rsid w:val="00B35DD5"/>
    <w:rsid w:val="00B37635"/>
    <w:rsid w:val="00B40648"/>
    <w:rsid w:val="00B4655A"/>
    <w:rsid w:val="00B57351"/>
    <w:rsid w:val="00B65557"/>
    <w:rsid w:val="00B71D87"/>
    <w:rsid w:val="00B74A72"/>
    <w:rsid w:val="00B805DD"/>
    <w:rsid w:val="00B84A2F"/>
    <w:rsid w:val="00B84A76"/>
    <w:rsid w:val="00B90639"/>
    <w:rsid w:val="00B912AC"/>
    <w:rsid w:val="00B93045"/>
    <w:rsid w:val="00BA348B"/>
    <w:rsid w:val="00BA75F2"/>
    <w:rsid w:val="00BB60D3"/>
    <w:rsid w:val="00BC0A7F"/>
    <w:rsid w:val="00BC2389"/>
    <w:rsid w:val="00BD265D"/>
    <w:rsid w:val="00BD3CF0"/>
    <w:rsid w:val="00BD3E0E"/>
    <w:rsid w:val="00BE3756"/>
    <w:rsid w:val="00C07C43"/>
    <w:rsid w:val="00C1174A"/>
    <w:rsid w:val="00C35E0A"/>
    <w:rsid w:val="00C3732E"/>
    <w:rsid w:val="00C40289"/>
    <w:rsid w:val="00C5149D"/>
    <w:rsid w:val="00C63D1F"/>
    <w:rsid w:val="00C7400F"/>
    <w:rsid w:val="00C81E2A"/>
    <w:rsid w:val="00C84284"/>
    <w:rsid w:val="00C911D4"/>
    <w:rsid w:val="00C94286"/>
    <w:rsid w:val="00CA009D"/>
    <w:rsid w:val="00CA25FD"/>
    <w:rsid w:val="00CB00EE"/>
    <w:rsid w:val="00CB5621"/>
    <w:rsid w:val="00CB62E7"/>
    <w:rsid w:val="00CC0F12"/>
    <w:rsid w:val="00CC5265"/>
    <w:rsid w:val="00CC7E26"/>
    <w:rsid w:val="00CD6418"/>
    <w:rsid w:val="00CE7985"/>
    <w:rsid w:val="00D07F30"/>
    <w:rsid w:val="00D115CB"/>
    <w:rsid w:val="00D27465"/>
    <w:rsid w:val="00D356B3"/>
    <w:rsid w:val="00D452A7"/>
    <w:rsid w:val="00D51AD5"/>
    <w:rsid w:val="00D63711"/>
    <w:rsid w:val="00D669A5"/>
    <w:rsid w:val="00D7354D"/>
    <w:rsid w:val="00D81211"/>
    <w:rsid w:val="00D92F43"/>
    <w:rsid w:val="00DA33A4"/>
    <w:rsid w:val="00DA40E8"/>
    <w:rsid w:val="00DB01D0"/>
    <w:rsid w:val="00DC0573"/>
    <w:rsid w:val="00DC0EA6"/>
    <w:rsid w:val="00DD2888"/>
    <w:rsid w:val="00DD3103"/>
    <w:rsid w:val="00DD3EF2"/>
    <w:rsid w:val="00DD76D9"/>
    <w:rsid w:val="00DF7CF5"/>
    <w:rsid w:val="00E02630"/>
    <w:rsid w:val="00E10133"/>
    <w:rsid w:val="00E15511"/>
    <w:rsid w:val="00E167CD"/>
    <w:rsid w:val="00E22385"/>
    <w:rsid w:val="00E33D5E"/>
    <w:rsid w:val="00E458EC"/>
    <w:rsid w:val="00E536C2"/>
    <w:rsid w:val="00E56D0D"/>
    <w:rsid w:val="00E724FB"/>
    <w:rsid w:val="00E94A81"/>
    <w:rsid w:val="00EA28C2"/>
    <w:rsid w:val="00EA3176"/>
    <w:rsid w:val="00EB1056"/>
    <w:rsid w:val="00EB1C3F"/>
    <w:rsid w:val="00EB2163"/>
    <w:rsid w:val="00EB490A"/>
    <w:rsid w:val="00EC3EB7"/>
    <w:rsid w:val="00EC4F64"/>
    <w:rsid w:val="00EC5B79"/>
    <w:rsid w:val="00EE5780"/>
    <w:rsid w:val="00EE7869"/>
    <w:rsid w:val="00EF0858"/>
    <w:rsid w:val="00F0213D"/>
    <w:rsid w:val="00F07EEB"/>
    <w:rsid w:val="00F07FDD"/>
    <w:rsid w:val="00F12853"/>
    <w:rsid w:val="00F20987"/>
    <w:rsid w:val="00F23172"/>
    <w:rsid w:val="00F61995"/>
    <w:rsid w:val="00F80812"/>
    <w:rsid w:val="00F9337B"/>
    <w:rsid w:val="00F971A0"/>
    <w:rsid w:val="00FB454B"/>
    <w:rsid w:val="00FB5C42"/>
    <w:rsid w:val="00FB5F2F"/>
    <w:rsid w:val="00FE0D26"/>
    <w:rsid w:val="00FE1819"/>
    <w:rsid w:val="00FE363A"/>
    <w:rsid w:val="00FF3DE8"/>
    <w:rsid w:val="06E460DC"/>
    <w:rsid w:val="16E158A8"/>
    <w:rsid w:val="1BB6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widowControl/>
      <w:spacing w:before="340" w:after="330" w:line="578" w:lineRule="auto"/>
      <w:jc w:val="left"/>
      <w:outlineLvl w:val="0"/>
    </w:pPr>
    <w:rPr>
      <w:rFonts w:ascii="Times New Roman" w:hAnsi="Times New Roman" w:eastAsia="黑体" w:cs="Times New Roman"/>
      <w:b/>
      <w:bCs/>
      <w:kern w:val="44"/>
      <w:sz w:val="28"/>
      <w:szCs w:val="44"/>
    </w:rPr>
  </w:style>
  <w:style w:type="paragraph" w:styleId="3">
    <w:name w:val="heading 3"/>
    <w:basedOn w:val="1"/>
    <w:next w:val="1"/>
    <w:link w:val="20"/>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8"/>
    <w:semiHidden/>
    <w:unhideWhenUsed/>
    <w:qFormat/>
    <w:uiPriority w:val="99"/>
    <w:pPr>
      <w:jc w:val="left"/>
    </w:pPr>
  </w:style>
  <w:style w:type="paragraph" w:styleId="5">
    <w:name w:val="Date"/>
    <w:basedOn w:val="1"/>
    <w:next w:val="1"/>
    <w:link w:val="15"/>
    <w:semiHidden/>
    <w:unhideWhenUsed/>
    <w:qFormat/>
    <w:uiPriority w:val="99"/>
    <w:pPr>
      <w:ind w:left="100" w:leftChars="25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日期 字符"/>
    <w:basedOn w:val="11"/>
    <w:link w:val="5"/>
    <w:semiHidden/>
    <w:qFormat/>
    <w:uiPriority w:val="99"/>
  </w:style>
  <w:style w:type="character" w:customStyle="1" w:styleId="16">
    <w:name w:val="标题 1 字符"/>
    <w:basedOn w:val="11"/>
    <w:link w:val="2"/>
    <w:qFormat/>
    <w:uiPriority w:val="9"/>
    <w:rPr>
      <w:rFonts w:ascii="Times New Roman" w:hAnsi="Times New Roman" w:eastAsia="黑体" w:cs="Times New Roman"/>
      <w:b/>
      <w:bCs/>
      <w:kern w:val="44"/>
      <w:sz w:val="28"/>
      <w:szCs w:val="44"/>
    </w:rPr>
  </w:style>
  <w:style w:type="character" w:customStyle="1" w:styleId="17">
    <w:name w:val="批注框文本 字符"/>
    <w:basedOn w:val="11"/>
    <w:link w:val="6"/>
    <w:semiHidden/>
    <w:qFormat/>
    <w:uiPriority w:val="99"/>
    <w:rPr>
      <w:sz w:val="18"/>
      <w:szCs w:val="18"/>
    </w:rPr>
  </w:style>
  <w:style w:type="character" w:customStyle="1" w:styleId="18">
    <w:name w:val="批注文字 字符"/>
    <w:basedOn w:val="11"/>
    <w:link w:val="4"/>
    <w:semiHidden/>
    <w:qFormat/>
    <w:uiPriority w:val="99"/>
  </w:style>
  <w:style w:type="character" w:customStyle="1" w:styleId="19">
    <w:name w:val="批注主题 字符"/>
    <w:basedOn w:val="18"/>
    <w:link w:val="9"/>
    <w:semiHidden/>
    <w:qFormat/>
    <w:uiPriority w:val="99"/>
    <w:rPr>
      <w:b/>
      <w:bCs/>
    </w:rPr>
  </w:style>
  <w:style w:type="character" w:customStyle="1" w:styleId="20">
    <w:name w:val="标题 3 字符"/>
    <w:basedOn w:val="11"/>
    <w:link w:val="3"/>
    <w:semiHidden/>
    <w:qFormat/>
    <w:uiPriority w:val="9"/>
    <w:rPr>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05F09-6BD9-415D-80E2-0DFD48748F1D}">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3463</Words>
  <Characters>3652</Characters>
  <Lines>27</Lines>
  <Paragraphs>7</Paragraphs>
  <TotalTime>279</TotalTime>
  <ScaleCrop>false</ScaleCrop>
  <LinksUpToDate>false</LinksUpToDate>
  <CharactersWithSpaces>3777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2026-06-22T06:46:00Z</dcterms:created>
  <dc:creator>user</dc:creator>
  <cp:lastModifiedBy>小彭彭</cp:lastModifiedBy>
  <dcterms:modified xsi:type="dcterms:W3CDTF">2026-06-23T09:34:10Z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A2596002EF144AF4AF12314EB50ED64E_13</vt:lpwstr>
  </property>
  <property fmtid="{D5CDD505-2E9C-101B-9397-08002B2CF9AE}" pid="4" name="KSOTemplateDocerSaveRecord">
    <vt:lpwstr>eyJoZGlkIjoiOWIzMmEyODBjYzg2NTdmMjI2NWRmNjhmYjdiZWViM2QiLCJ1c2VySWQiOiIzNTI1NjM2NTgifQ==</vt:lpwstr>
  </property>
</Properties>
</file>