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FF7D8"/>
    <w:p w14:paraId="3F83D842"/>
    <w:p w14:paraId="400C3E0F"/>
    <w:p w14:paraId="30B5A1D6"/>
    <w:p w14:paraId="430E6728"/>
    <w:p w14:paraId="1A985043"/>
    <w:p w14:paraId="604BCEF0"/>
    <w:p w14:paraId="574EBAA8"/>
    <w:p w14:paraId="025BA756"/>
    <w:p w14:paraId="112F3BBA"/>
    <w:p w14:paraId="5C130BDD"/>
    <w:p w14:paraId="61BAFE17"/>
    <w:p w14:paraId="5DB2AC45"/>
    <w:p w14:paraId="2A87ACD5"/>
    <w:p w14:paraId="31FE3215"/>
    <w:p w14:paraId="7FD42D23"/>
    <w:p w14:paraId="09D48BEF">
      <w:pPr>
        <w:jc w:val="center"/>
        <w:rPr>
          <w:rFonts w:ascii="方正小标宋简体" w:hAnsi="Times New Roman" w:eastAsia="方正小标宋简体" w:cs="Times New Roman"/>
          <w:b/>
          <w:bCs/>
          <w:sz w:val="44"/>
          <w:szCs w:val="44"/>
        </w:rPr>
      </w:pPr>
      <w:r>
        <w:rPr>
          <w:rFonts w:hint="eastAsia" w:ascii="方正小标宋简体" w:hAnsi="Times New Roman" w:eastAsia="方正小标宋简体" w:cs="Times New Roman"/>
          <w:b/>
          <w:bCs/>
          <w:sz w:val="44"/>
          <w:szCs w:val="44"/>
        </w:rPr>
        <w:t>团体标准</w:t>
      </w:r>
    </w:p>
    <w:p w14:paraId="3A08F8D0">
      <w:pPr>
        <w:jc w:val="center"/>
        <w:rPr>
          <w:rFonts w:ascii="方正小标宋简体" w:hAnsi="Times New Roman" w:eastAsia="方正小标宋简体" w:cs="Times New Roman"/>
          <w:b/>
          <w:bCs/>
          <w:sz w:val="44"/>
          <w:szCs w:val="44"/>
        </w:rPr>
      </w:pPr>
      <w:r>
        <w:rPr>
          <w:rFonts w:hint="eastAsia" w:ascii="方正小标宋简体" w:hAnsi="Times New Roman" w:eastAsia="方正小标宋简体" w:cs="Times New Roman"/>
          <w:b/>
          <w:bCs/>
          <w:sz w:val="44"/>
          <w:szCs w:val="44"/>
        </w:rPr>
        <w:t>《</w:t>
      </w:r>
      <w:r>
        <w:rPr>
          <w:rFonts w:hint="eastAsia" w:ascii="方正小标宋简体" w:hAnsi="Times New Roman" w:eastAsia="方正小标宋简体" w:cs="Times New Roman"/>
          <w:b/>
          <w:bCs/>
          <w:sz w:val="44"/>
          <w:szCs w:val="44"/>
          <w:lang w:eastAsia="zh-CN"/>
        </w:rPr>
        <w:t>医疗机构可信数据空间建设指南</w:t>
      </w:r>
      <w:r>
        <w:rPr>
          <w:rFonts w:hint="eastAsia" w:ascii="方正小标宋简体" w:hAnsi="Times New Roman" w:eastAsia="方正小标宋简体" w:cs="Times New Roman"/>
          <w:b/>
          <w:bCs/>
          <w:sz w:val="44"/>
          <w:szCs w:val="44"/>
        </w:rPr>
        <w:t>》（</w:t>
      </w:r>
      <w:r>
        <w:rPr>
          <w:rFonts w:hint="eastAsia" w:ascii="方正小标宋简体" w:hAnsi="Times New Roman" w:eastAsia="方正小标宋简体" w:cs="Times New Roman"/>
          <w:b/>
          <w:bCs/>
          <w:sz w:val="44"/>
          <w:szCs w:val="44"/>
          <w:lang w:val="en-US" w:eastAsia="zh-CN"/>
        </w:rPr>
        <w:t>征求意见稿</w:t>
      </w:r>
      <w:r>
        <w:rPr>
          <w:rFonts w:hint="eastAsia" w:ascii="方正小标宋简体" w:hAnsi="Times New Roman" w:eastAsia="方正小标宋简体" w:cs="Times New Roman"/>
          <w:b/>
          <w:bCs/>
          <w:sz w:val="44"/>
          <w:szCs w:val="44"/>
        </w:rPr>
        <w:t>）编制说明</w:t>
      </w:r>
    </w:p>
    <w:p w14:paraId="053E04C1">
      <w:pPr>
        <w:jc w:val="center"/>
        <w:rPr>
          <w:rFonts w:ascii="方正小标宋简体" w:hAnsi="Times New Roman" w:eastAsia="方正小标宋简体" w:cs="Times New Roman"/>
          <w:b/>
          <w:bCs/>
          <w:sz w:val="44"/>
          <w:szCs w:val="44"/>
        </w:rPr>
      </w:pPr>
    </w:p>
    <w:p w14:paraId="374914A4">
      <w:pPr>
        <w:jc w:val="center"/>
        <w:rPr>
          <w:rFonts w:ascii="方正小标宋简体" w:hAnsi="Times New Roman" w:eastAsia="方正小标宋简体" w:cs="Times New Roman"/>
          <w:b/>
          <w:bCs/>
          <w:sz w:val="44"/>
          <w:szCs w:val="44"/>
        </w:rPr>
      </w:pPr>
    </w:p>
    <w:p w14:paraId="09A997B8">
      <w:pPr>
        <w:jc w:val="center"/>
        <w:rPr>
          <w:rFonts w:ascii="方正小标宋简体" w:hAnsi="Times New Roman" w:eastAsia="方正小标宋简体" w:cs="Times New Roman"/>
          <w:b/>
          <w:bCs/>
          <w:sz w:val="44"/>
          <w:szCs w:val="44"/>
        </w:rPr>
      </w:pPr>
    </w:p>
    <w:p w14:paraId="4A2E33E7">
      <w:pPr>
        <w:jc w:val="center"/>
        <w:rPr>
          <w:rFonts w:ascii="方正小标宋简体" w:hAnsi="Times New Roman" w:eastAsia="方正小标宋简体" w:cs="Times New Roman"/>
          <w:b/>
          <w:bCs/>
          <w:sz w:val="44"/>
          <w:szCs w:val="44"/>
        </w:rPr>
      </w:pPr>
    </w:p>
    <w:p w14:paraId="6989F863"/>
    <w:p w14:paraId="6D0AD524">
      <w:pPr>
        <w:jc w:val="center"/>
        <w:rPr>
          <w:rFonts w:ascii="楷体" w:hAnsi="楷体" w:eastAsia="楷体" w:cs="Times New Roman"/>
          <w:b/>
          <w:bCs/>
          <w:color w:val="000000"/>
          <w:sz w:val="30"/>
          <w:szCs w:val="30"/>
        </w:rPr>
      </w:pPr>
      <w:r>
        <w:rPr>
          <w:rFonts w:hint="eastAsia" w:ascii="楷体" w:hAnsi="楷体" w:eastAsia="楷体" w:cs="Times New Roman"/>
          <w:b/>
          <w:bCs/>
          <w:color w:val="000000"/>
          <w:sz w:val="30"/>
          <w:szCs w:val="30"/>
        </w:rPr>
        <w:t>《</w:t>
      </w:r>
      <w:r>
        <w:rPr>
          <w:rFonts w:hint="eastAsia" w:ascii="楷体" w:hAnsi="楷体" w:eastAsia="楷体" w:cs="Times New Roman"/>
          <w:b/>
          <w:bCs/>
          <w:color w:val="000000"/>
          <w:sz w:val="30"/>
          <w:szCs w:val="30"/>
          <w:lang w:eastAsia="zh-CN"/>
        </w:rPr>
        <w:t>医疗机构可信数据空间建设指南</w:t>
      </w:r>
      <w:r>
        <w:rPr>
          <w:rFonts w:hint="eastAsia" w:ascii="楷体" w:hAnsi="楷体" w:eastAsia="楷体" w:cs="Times New Roman"/>
          <w:b/>
          <w:bCs/>
          <w:color w:val="000000"/>
          <w:sz w:val="30"/>
          <w:szCs w:val="30"/>
        </w:rPr>
        <w:t>》编制组</w:t>
      </w:r>
    </w:p>
    <w:p w14:paraId="539FA47D">
      <w:pPr>
        <w:jc w:val="center"/>
        <w:rPr>
          <w:rFonts w:ascii="楷体" w:hAnsi="楷体" w:eastAsia="楷体" w:cs="Times New Roman"/>
          <w:b/>
          <w:bCs/>
          <w:color w:val="000000"/>
          <w:sz w:val="30"/>
          <w:szCs w:val="30"/>
        </w:rPr>
      </w:pPr>
      <w:r>
        <w:rPr>
          <w:rFonts w:hint="eastAsia" w:ascii="楷体" w:hAnsi="楷体" w:eastAsia="楷体" w:cs="Times New Roman"/>
          <w:b/>
          <w:bCs/>
          <w:color w:val="000000"/>
          <w:sz w:val="30"/>
          <w:szCs w:val="30"/>
        </w:rPr>
        <w:t>202</w:t>
      </w:r>
      <w:r>
        <w:rPr>
          <w:rFonts w:hint="eastAsia" w:ascii="楷体" w:hAnsi="楷体" w:eastAsia="楷体" w:cs="Times New Roman"/>
          <w:b/>
          <w:bCs/>
          <w:color w:val="000000"/>
          <w:sz w:val="30"/>
          <w:szCs w:val="30"/>
          <w:lang w:val="en-US" w:eastAsia="zh-CN"/>
        </w:rPr>
        <w:t>6</w:t>
      </w:r>
      <w:r>
        <w:rPr>
          <w:rFonts w:hint="eastAsia" w:ascii="楷体" w:hAnsi="楷体" w:eastAsia="楷体" w:cs="Times New Roman"/>
          <w:b/>
          <w:bCs/>
          <w:color w:val="000000"/>
          <w:sz w:val="30"/>
          <w:szCs w:val="30"/>
        </w:rPr>
        <w:t>年</w:t>
      </w:r>
      <w:r>
        <w:rPr>
          <w:rFonts w:hint="eastAsia" w:ascii="楷体" w:hAnsi="楷体" w:eastAsia="楷体" w:cs="Times New Roman"/>
          <w:b/>
          <w:bCs/>
          <w:color w:val="000000"/>
          <w:sz w:val="30"/>
          <w:szCs w:val="30"/>
          <w:lang w:val="en-US" w:eastAsia="zh-CN"/>
        </w:rPr>
        <w:t>06</w:t>
      </w:r>
      <w:r>
        <w:rPr>
          <w:rFonts w:hint="eastAsia" w:ascii="楷体" w:hAnsi="楷体" w:eastAsia="楷体" w:cs="Times New Roman"/>
          <w:b/>
          <w:bCs/>
          <w:color w:val="000000"/>
          <w:sz w:val="30"/>
          <w:szCs w:val="30"/>
        </w:rPr>
        <w:t>月</w:t>
      </w:r>
    </w:p>
    <w:p w14:paraId="4FFA4ED3">
      <w:pPr>
        <w:rPr>
          <w:rFonts w:ascii="楷体" w:hAnsi="楷体" w:eastAsia="楷体" w:cs="Times New Roman"/>
          <w:b/>
          <w:bCs/>
          <w:color w:val="000000"/>
          <w:sz w:val="30"/>
          <w:szCs w:val="30"/>
        </w:rPr>
        <w:sectPr>
          <w:footerReference r:id="rId4" w:type="first"/>
          <w:footerReference r:id="rId3" w:type="default"/>
          <w:pgSz w:w="11906" w:h="16838"/>
          <w:pgMar w:top="1440" w:right="1800" w:bottom="1440" w:left="1800" w:header="851" w:footer="992" w:gutter="0"/>
          <w:cols w:space="425" w:num="1"/>
          <w:titlePg/>
          <w:docGrid w:type="lines" w:linePitch="312" w:charSpace="0"/>
        </w:sectPr>
      </w:pPr>
    </w:p>
    <w:p w14:paraId="491B0F8F">
      <w:pPr>
        <w:jc w:val="center"/>
        <w:rPr>
          <w:rFonts w:ascii="方正小标宋简体" w:hAnsi="Times New Roman" w:eastAsia="方正小标宋简体" w:cs="Times New Roman"/>
          <w:b/>
          <w:sz w:val="32"/>
          <w:szCs w:val="32"/>
        </w:rPr>
      </w:pPr>
      <w:r>
        <w:rPr>
          <w:rFonts w:hint="eastAsia" w:ascii="方正小标宋简体" w:hAnsi="Times New Roman" w:eastAsia="方正小标宋简体" w:cs="Times New Roman"/>
          <w:b/>
          <w:sz w:val="32"/>
          <w:szCs w:val="32"/>
        </w:rPr>
        <w:t>团体标准《</w:t>
      </w:r>
      <w:r>
        <w:rPr>
          <w:rFonts w:hint="eastAsia" w:ascii="方正小标宋简体" w:hAnsi="Times New Roman" w:eastAsia="方正小标宋简体" w:cs="Times New Roman"/>
          <w:b/>
          <w:sz w:val="32"/>
          <w:szCs w:val="32"/>
          <w:lang w:eastAsia="zh-CN"/>
        </w:rPr>
        <w:t>医疗机构可信数据空间建设指南</w:t>
      </w:r>
      <w:r>
        <w:rPr>
          <w:rFonts w:hint="eastAsia" w:ascii="方正小标宋简体" w:hAnsi="Times New Roman" w:eastAsia="方正小标宋简体" w:cs="Times New Roman"/>
          <w:b/>
          <w:sz w:val="32"/>
          <w:szCs w:val="32"/>
        </w:rPr>
        <w:t>》（</w:t>
      </w:r>
      <w:r>
        <w:rPr>
          <w:rFonts w:hint="eastAsia" w:ascii="方正小标宋简体" w:hAnsi="Times New Roman" w:eastAsia="方正小标宋简体" w:cs="Times New Roman"/>
          <w:b/>
          <w:sz w:val="32"/>
          <w:szCs w:val="32"/>
          <w:lang w:val="en-US" w:eastAsia="zh-CN"/>
        </w:rPr>
        <w:t>征求意见</w:t>
      </w:r>
      <w:r>
        <w:rPr>
          <w:rFonts w:hint="eastAsia" w:ascii="方正小标宋简体" w:hAnsi="Times New Roman" w:eastAsia="方正小标宋简体" w:cs="Times New Roman"/>
          <w:b/>
          <w:sz w:val="32"/>
          <w:szCs w:val="32"/>
        </w:rPr>
        <w:t>稿）编制说明</w:t>
      </w:r>
    </w:p>
    <w:p w14:paraId="2E30BC10">
      <w:pPr>
        <w:jc w:val="center"/>
        <w:rPr>
          <w:rFonts w:ascii="方正小标宋简体" w:hAnsi="Times New Roman" w:eastAsia="方正小标宋简体" w:cs="Times New Roman"/>
          <w:b/>
          <w:sz w:val="32"/>
          <w:szCs w:val="32"/>
        </w:rPr>
      </w:pPr>
    </w:p>
    <w:p w14:paraId="1EAB86DC">
      <w:pPr>
        <w:spacing w:before="156" w:beforeLines="50" w:after="156" w:afterLines="50"/>
        <w:rPr>
          <w:rFonts w:ascii="黑体" w:hAnsi="黑体" w:eastAsia="黑体" w:cs="Times New Roman"/>
          <w:b/>
          <w:sz w:val="28"/>
          <w:szCs w:val="28"/>
        </w:rPr>
      </w:pPr>
      <w:r>
        <w:rPr>
          <w:rFonts w:hint="eastAsia" w:ascii="黑体" w:hAnsi="黑体" w:eastAsia="黑体" w:cs="Times New Roman"/>
          <w:b/>
          <w:sz w:val="28"/>
          <w:szCs w:val="28"/>
        </w:rPr>
        <w:t>一、项目背景和必要性</w:t>
      </w:r>
    </w:p>
    <w:p w14:paraId="20A67AAC">
      <w:pPr>
        <w:spacing w:before="156" w:beforeLines="50" w:after="156" w:afterLines="50"/>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随着数字中国、健康中国战略深入实施，以及国家数据基础设施建设和数据要素市场化配置改革持续推进，医疗健康数据已成为支撑医疗服务、医学科研、公共卫生治理和人工智能创新的重要战略资源。近年来，医疗机构信息化建设取得显著成效，形成了涵盖电子病历、医学影像、检验检查、运营管理和科研教学等海量数据资源，但由于数据标准不统一、共享机制不完善、数据安全保障不足等原因，医疗健康数据仍存在“数据孤岛”现象，数据资源价值尚未得到充分释放。</w:t>
      </w:r>
    </w:p>
    <w:p w14:paraId="0CDC34FE">
      <w:pPr>
        <w:spacing w:before="156" w:beforeLines="50" w:after="156" w:afterLines="50"/>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与此同时，国家相继出台《数据安全法》《个人信息保护法》《国家数据基础设施建设指引》《可信数据空间发展行动计划（2024—2028年）》等政策文件，明确提出加快可信数据空间建设，推动数据安全可信流通和开发利用。医疗健康领域作为国家重点推进行业之一，亟需建立兼顾数据安全、隐私保护和价值释放的数据流通新模式，实现医疗健康数据跨机构、跨区域和跨场景安全共享与协同利用。</w:t>
      </w:r>
    </w:p>
    <w:p w14:paraId="5780B717">
      <w:pPr>
        <w:spacing w:before="156" w:beforeLines="50" w:after="156" w:afterLines="50"/>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当前，医学人工智能、多中心科研协作、精准医疗、智慧医院建设等新兴应用对高质量医疗数据的需求快速增长，传统数据交换和共享模式已难以满足数据可信流通和创新应用要求。通过建设医疗机构可信数据空间，构建统一的数据资源管理体系、可信身份体系、授权管理体系、安全保障体系和运营管理体系，实现“数据可用不可见、数据不动价值流动”，能够有效提升医疗健康数据资源利用效率和创新应用能力。</w:t>
      </w:r>
    </w:p>
    <w:p w14:paraId="103260E3">
      <w:pPr>
        <w:spacing w:before="156" w:beforeLines="50" w:after="156" w:afterLines="50"/>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因此，制定《医疗机构可信数据空间建设指南》团体标准，对于贯彻落实国家数据基础设施建设和可信数据空间发展战略，规范医疗机构可信数据空间建设路径，提升医疗健康数据安全和流通利用水平，促进医疗数据资源向数据资产转化，推动医疗卫生行业数字化转型和高质量发展具有重要的现实意义和应用价值。</w:t>
      </w:r>
    </w:p>
    <w:p w14:paraId="77BBAB6B">
      <w:pPr>
        <w:spacing w:before="156" w:beforeLines="50" w:after="156" w:afterLines="50"/>
        <w:rPr>
          <w:rFonts w:ascii="黑体" w:hAnsi="黑体" w:eastAsia="黑体" w:cs="Times New Roman"/>
          <w:b/>
          <w:sz w:val="28"/>
          <w:szCs w:val="28"/>
        </w:rPr>
      </w:pPr>
      <w:r>
        <w:rPr>
          <w:rFonts w:hint="eastAsia" w:ascii="黑体" w:hAnsi="黑体" w:eastAsia="黑体" w:cs="Times New Roman"/>
          <w:b/>
          <w:sz w:val="28"/>
          <w:szCs w:val="28"/>
        </w:rPr>
        <w:t>二、工作简况</w:t>
      </w:r>
    </w:p>
    <w:p w14:paraId="75AC2898">
      <w:pPr>
        <w:ind w:left="1" w:firstLine="562" w:firstLineChars="200"/>
        <w:rPr>
          <w:rFonts w:ascii="楷体" w:hAnsi="楷体" w:eastAsia="楷体" w:cs="Times New Roman"/>
          <w:b/>
          <w:sz w:val="28"/>
          <w:szCs w:val="28"/>
        </w:rPr>
      </w:pPr>
      <w:r>
        <w:rPr>
          <w:rFonts w:hint="eastAsia" w:ascii="楷体" w:hAnsi="楷体" w:eastAsia="楷体" w:cs="Times New Roman"/>
          <w:b/>
          <w:sz w:val="28"/>
          <w:szCs w:val="28"/>
        </w:rPr>
        <w:t>（一）任务来源</w:t>
      </w:r>
    </w:p>
    <w:p w14:paraId="456BFB4E">
      <w:pPr>
        <w:ind w:left="1"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为贯彻落实国家关于数据基础设施建设、数据要素市场化配置改革和可信数据空间建设的总体部署，推动医疗健康数据安全可信流通和高效开发利用，规范医疗机构可信数据空间建设工作，在广东省卫生经济学会的组织指导下，联合医疗卫生机构、高等院校、信息技术企业及相关专家共同开展《医疗机构可信数据空间建设指南》团体标准编制工作。</w:t>
      </w:r>
    </w:p>
    <w:p w14:paraId="689E51D1">
      <w:pPr>
        <w:ind w:left="1" w:firstLine="560" w:firstLineChars="200"/>
      </w:pPr>
      <w:r>
        <w:rPr>
          <w:rFonts w:hint="eastAsia" w:ascii="仿宋_GB2312" w:hAnsi="Times New Roman" w:eastAsia="仿宋_GB2312" w:cs="Times New Roman"/>
          <w:sz w:val="28"/>
          <w:szCs w:val="28"/>
        </w:rPr>
        <w:t>本标准立足医疗行业数字化转型发展需求，结合国家数据局《可信数据空间发展行动计划（2024—2028年）》《国家数据基础设施建设指引》等政策要求，以及医疗健康领域数据资源管理和流通利用实际情况，旨在建立医疗机构可信数据空间建设的总体框架、建设要求和实施路径，为医疗机构开展可信数据空间建设提供标准依据和实践指导。</w:t>
      </w:r>
    </w:p>
    <w:p w14:paraId="1CB5AFD8">
      <w:pPr>
        <w:ind w:left="1" w:firstLine="562" w:firstLineChars="200"/>
        <w:rPr>
          <w:rFonts w:ascii="楷体" w:hAnsi="楷体" w:eastAsia="楷体" w:cs="Times New Roman"/>
          <w:b/>
          <w:sz w:val="28"/>
          <w:szCs w:val="28"/>
        </w:rPr>
      </w:pPr>
      <w:r>
        <w:rPr>
          <w:rFonts w:hint="eastAsia" w:ascii="楷体" w:hAnsi="楷体" w:eastAsia="楷体" w:cs="Times New Roman"/>
          <w:b/>
          <w:sz w:val="28"/>
          <w:szCs w:val="28"/>
        </w:rPr>
        <w:t>（二）项目主要工作过程</w:t>
      </w:r>
    </w:p>
    <w:p w14:paraId="0127C10C">
      <w:pPr>
        <w:ind w:left="1" w:firstLine="562" w:firstLineChars="200"/>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1.标准草案形成阶段</w:t>
      </w:r>
    </w:p>
    <w:p w14:paraId="4220A5A7">
      <w:pPr>
        <w:spacing w:line="360" w:lineRule="auto"/>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2025年10月至2026年3月，在南方医科大学南方医院牵头，联通数智医疗科技有限公司和广州医科大学附属口腔医院等单位参与下，成立了标准编制工作组，明确标准编制目标、工作计划和任务分工。编制组系统梳理了国家关于数据要素、可信数据空间、数据安全、个人信息保护以及医疗健康信息化建设等相关政策文件、标准规范和行业实践成果，重点研究了国家数据基础设施建设要求、可信数据空间技术架构、医疗健康数据流通利用模式以及国内外相关建设经验。</w:t>
      </w:r>
    </w:p>
    <w:p w14:paraId="6D259916">
      <w:pPr>
        <w:spacing w:line="360" w:lineRule="auto"/>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在充分调研医疗机构、科研机构、信息化服务企业及行业专家意见的基础上，结合医疗健康数据资源特点和医疗机构建设需求，围绕建设原则、总体架构、基础设施、数据资源、可信能力、数据流通利用、安全保障、运营管理和运行维护等方面开展专题研究，并于202</w:t>
      </w:r>
      <w:r>
        <w:rPr>
          <w:rFonts w:hint="eastAsia" w:ascii="仿宋_GB2312" w:hAnsi="Times New Roman" w:eastAsia="仿宋_GB2312" w:cs="Times New Roman"/>
          <w:sz w:val="28"/>
          <w:szCs w:val="28"/>
          <w:lang w:val="en-US" w:eastAsia="zh-CN"/>
        </w:rPr>
        <w:t>6</w:t>
      </w:r>
      <w:r>
        <w:rPr>
          <w:rFonts w:hint="eastAsia" w:ascii="仿宋_GB2312" w:hAnsi="Times New Roman" w:eastAsia="仿宋_GB2312" w:cs="Times New Roman"/>
          <w:sz w:val="28"/>
          <w:szCs w:val="28"/>
        </w:rPr>
        <w:t>年</w:t>
      </w:r>
      <w:r>
        <w:rPr>
          <w:rFonts w:hint="eastAsia" w:ascii="仿宋_GB2312" w:hAnsi="Times New Roman" w:eastAsia="仿宋_GB2312" w:cs="Times New Roman"/>
          <w:sz w:val="28"/>
          <w:szCs w:val="28"/>
          <w:lang w:val="en-US" w:eastAsia="zh-CN"/>
        </w:rPr>
        <w:t>2</w:t>
      </w:r>
      <w:r>
        <w:rPr>
          <w:rFonts w:hint="eastAsia" w:ascii="仿宋_GB2312" w:hAnsi="Times New Roman" w:eastAsia="仿宋_GB2312" w:cs="Times New Roman"/>
          <w:sz w:val="28"/>
          <w:szCs w:val="28"/>
        </w:rPr>
        <w:t>月形成了《医疗机构可信数据空间建设指南》标准草案初稿。</w:t>
      </w:r>
    </w:p>
    <w:p w14:paraId="566ED5E1">
      <w:pPr>
        <w:ind w:left="1" w:firstLine="562" w:firstLineChars="200"/>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2、标准征求意见稿形成阶段</w:t>
      </w:r>
    </w:p>
    <w:p w14:paraId="052FCE5C">
      <w:pPr>
        <w:ind w:left="1"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2026年3月至6月，在标准草案基础上，标准工作组先后</w:t>
      </w:r>
      <w:r>
        <w:rPr>
          <w:rFonts w:hint="eastAsia" w:ascii="仿宋_GB2312" w:hAnsi="Times New Roman" w:eastAsia="仿宋_GB2312" w:cs="Times New Roman"/>
          <w:sz w:val="28"/>
          <w:szCs w:val="28"/>
          <w:lang w:val="en-US" w:eastAsia="zh-CN"/>
        </w:rPr>
        <w:t>参加了广东省卫生经济学会组织的</w:t>
      </w:r>
      <w:r>
        <w:rPr>
          <w:rFonts w:hint="eastAsia" w:ascii="仿宋_GB2312" w:hAnsi="Times New Roman" w:eastAsia="仿宋_GB2312" w:cs="Times New Roman"/>
          <w:sz w:val="28"/>
          <w:szCs w:val="28"/>
        </w:rPr>
        <w:t>两次专家研讨会和多次内部评审会，对标准框架、技术内容和指标要求进行论证和完善。重点围绕医疗机构可信数据空间总体架构设计、数据资源体系建设、可信身份管理、授权控制、隐私计算、安全保障以及运营管理等关键内容进行了修改优化，确保标准内容符合国家政策导向和行业发展需求。</w:t>
      </w:r>
    </w:p>
    <w:p w14:paraId="75100BE6">
      <w:pPr>
        <w:ind w:left="1"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同时，编制组广泛征求医疗机构、行业协会、高校科研院所、信息技术企业及相关领域专家意见，结合反馈建议对标准内容进行了补充完善和协调统一，进一步增强标准的科学性、先进性、适用性和可操作性，最终形成《医疗机构可信数据空间建设指南》（征求意见稿），作为公开征求意见和后续审查完善的基础文本。</w:t>
      </w:r>
    </w:p>
    <w:p w14:paraId="4FBE7D06">
      <w:pPr>
        <w:spacing w:before="156" w:beforeLines="50" w:after="156" w:afterLines="50"/>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三、标准编制原则、主要内容及确定依据</w:t>
      </w:r>
    </w:p>
    <w:p w14:paraId="59CF4065">
      <w:pPr>
        <w:spacing w:before="156" w:beforeLines="50" w:after="156" w:afterLines="50"/>
        <w:ind w:firstLine="422" w:firstLineChars="150"/>
        <w:outlineLvl w:val="0"/>
        <w:rPr>
          <w:rFonts w:ascii="楷体" w:hAnsi="楷体" w:eastAsia="楷体" w:cs="Times New Roman"/>
          <w:b/>
          <w:sz w:val="28"/>
          <w:szCs w:val="28"/>
        </w:rPr>
      </w:pPr>
      <w:bookmarkStart w:id="0" w:name="_GoBack"/>
      <w:bookmarkEnd w:id="0"/>
      <w:r>
        <w:rPr>
          <w:rFonts w:hint="eastAsia" w:ascii="楷体" w:hAnsi="楷体" w:eastAsia="楷体" w:cs="Times New Roman"/>
          <w:b/>
          <w:sz w:val="28"/>
          <w:szCs w:val="28"/>
        </w:rPr>
        <w:t>（一）标准编制原则</w:t>
      </w:r>
    </w:p>
    <w:p w14:paraId="433BA686">
      <w:pPr>
        <w:ind w:left="1"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本标准依据国家有关法律法规、政策文件和标准规范要求，结合医疗健康行业数据资源特点和可信数据空间建设实践需求进行编制，主要遵循以下原则：</w:t>
      </w:r>
    </w:p>
    <w:p w14:paraId="5B0344B7">
      <w:pPr>
        <w:ind w:left="1"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坚持政策引领原则。以《数据安全法》《个人信息保护法》《国家数据基础设施建设指引》《可信数据空间发展行动计划（2024—2028年）》等法律法规和政策文件为指导，贯彻落实国家关于数据要素市场化配置改革和可信数据空间建设的总体要求。</w:t>
      </w:r>
    </w:p>
    <w:p w14:paraId="78E2AF38">
      <w:pPr>
        <w:ind w:left="1"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（2）坚持行业适用原则。充分结合医疗机构业务特点、数据资源特征以及医疗健康数据流通利用需求，突出医疗行业特色，增强标准的针对性、适用性和可操作性。</w:t>
      </w:r>
    </w:p>
    <w:p w14:paraId="07674357">
      <w:pPr>
        <w:ind w:left="1"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（3）坚持安全可信原则。围绕医疗健康数据安全保护和可信流通需求，建立覆盖身份认证、授权管理、访问控制、隐私计算、审计监管和安全保障等内容的可信能力体系，确保数据流通全过程安全可控。</w:t>
      </w:r>
    </w:p>
    <w:p w14:paraId="1B238DD6">
      <w:pPr>
        <w:ind w:left="1"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（4）坚持开放共享原则。推动医疗健康数据在合法合规、安全可控前提下实现共享开放和协同利用，促进医疗服务、医学科研、公共卫生治理和健康产业创新发展。</w:t>
      </w:r>
    </w:p>
    <w:p w14:paraId="7B1F29C6">
      <w:pPr>
        <w:ind w:left="1"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5）坚持先进性与实用性相结合原则。充分借鉴国内外可信数据空间建设经验，吸收数据空间、数据要素流通、隐私计算等领域先进技术成果，同时结合我国医疗机构建设实际，确保标准具有前瞻性、科学性和可落地性。</w:t>
      </w:r>
    </w:p>
    <w:p w14:paraId="75928F55">
      <w:pPr>
        <w:spacing w:before="156" w:beforeLines="50" w:after="156" w:afterLines="50"/>
        <w:ind w:firstLine="422" w:firstLineChars="150"/>
        <w:outlineLvl w:val="0"/>
        <w:rPr>
          <w:rFonts w:ascii="楷体" w:hAnsi="楷体" w:eastAsia="楷体" w:cs="Times New Roman"/>
          <w:b/>
          <w:sz w:val="28"/>
          <w:szCs w:val="28"/>
        </w:rPr>
      </w:pPr>
      <w:r>
        <w:rPr>
          <w:rFonts w:hint="eastAsia" w:ascii="楷体" w:hAnsi="楷体" w:eastAsia="楷体" w:cs="Times New Roman"/>
          <w:b/>
          <w:sz w:val="28"/>
          <w:szCs w:val="28"/>
        </w:rPr>
        <w:t>（二）标准主要内容及确定依据</w:t>
      </w:r>
    </w:p>
    <w:p w14:paraId="12919A35">
      <w:pPr>
        <w:ind w:firstLine="420" w:firstLineChars="15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w:t>
      </w:r>
      <w:r>
        <w:rPr>
          <w:rFonts w:hint="eastAsia" w:ascii="Times New Roman" w:hAnsi="Times New Roman" w:eastAsia="仿宋_GB2312" w:cs="Times New Roman"/>
          <w:sz w:val="28"/>
          <w:szCs w:val="28"/>
          <w:lang w:eastAsia="zh-CN"/>
        </w:rPr>
        <w:t>医疗机构可信数据空间建设指南</w:t>
      </w:r>
      <w:r>
        <w:rPr>
          <w:rFonts w:hint="eastAsia" w:ascii="Times New Roman" w:hAnsi="Times New Roman" w:eastAsia="仿宋_GB2312" w:cs="Times New Roman"/>
          <w:sz w:val="28"/>
          <w:szCs w:val="28"/>
        </w:rPr>
        <w:t>》规定了医疗机构可信数据空间建设的总体要求、建设原则、总体架构、基础设施建设、数据资源建设、可信能力建设、数据流通利用建设、安全保障建设、运营管理和运行维护等内容，为医疗机构开展可信数据空间建设提供指导。</w:t>
      </w:r>
    </w:p>
    <w:p w14:paraId="76D58D23">
      <w:pPr>
        <w:ind w:firstLine="420" w:firstLineChars="15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1、范围</w:t>
      </w:r>
    </w:p>
    <w:p w14:paraId="21522676">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本标准规定了医疗机构可信数据空间建设的建设原则、总体架构、基础设施建设、数据资源建设、可信能力建设、数据流通利用建设、安全保障建设、运营管理和运行维护等内容。</w:t>
      </w:r>
    </w:p>
    <w:p w14:paraId="350520F1">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本标准适用于各级各类医疗机构可信数据空间的规划、设计、建设、运营和管理，也可为区域医疗健康数据空间、医联体数据空间以及医疗健康相关机构开展可信数据空间建设提供参考。</w:t>
      </w:r>
    </w:p>
    <w:p w14:paraId="79946628">
      <w:pPr>
        <w:ind w:firstLine="420" w:firstLineChars="15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本部分内容主要依据国家关于可信数据空间建设总体要求以及医疗健康数据流通利用场景需求确定，明确了标准适用范围和应用边界，确保标准具有较强的行业适用性和指导性。</w:t>
      </w:r>
    </w:p>
    <w:p w14:paraId="4D2002D8">
      <w:pPr>
        <w:ind w:firstLine="420" w:firstLineChars="15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2、规范性引用文件</w:t>
      </w:r>
    </w:p>
    <w:p w14:paraId="273BA138">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本标准引用了医疗健康信息化、数据安全、个人信息保护、数据管理以及可信数据空间建设相关法律法规和标准规范，包括但不限于《中华人民共和国网络安全法》《中华人民共和国数据安全法》《中华人民共和国个人信息保护法》《国家数据基础设施建设指引》《可信数据空间发展行动计划（2024—2028年）》以及医疗卫生信息化相关国家标准和行业标准。</w:t>
      </w:r>
    </w:p>
    <w:p w14:paraId="6352E684">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规范性引用文件的选取遵循权威性、适用性和现行有效原则，重点参考数据基础设施建设、数据资源管理、数据共享交换、数据安全保护、隐私计算、可信身份认证和医疗卫生信息标准等领域相关规范要求，作为本标准技术内容制定的重要依据，确保标准与国家政策导向和行业发展要求保持一致。</w:t>
      </w:r>
    </w:p>
    <w:p w14:paraId="66769657">
      <w:pPr>
        <w:ind w:firstLine="420" w:firstLineChars="15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3、术语和定义</w:t>
      </w:r>
    </w:p>
    <w:p w14:paraId="247A3263">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本标准结合国家数据基础设施建设、可信数据空间建设以及医疗健康行业相关标准要求，对医疗机构可信数据空间建设过程中涉及的核心概念进行了统一定义，主要包括医疗机构可信数据空间、数据提供方、数据使用方、数据服务方、数据空间运营方、可信身份管理、数据授权管理、隐私计算、数据产品、数据服务等术语。</w:t>
      </w:r>
    </w:p>
    <w:p w14:paraId="6E728362">
      <w:pPr>
        <w:ind w:firstLine="420" w:firstLineChars="15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术语定义主要参考《国家数据基础设施建设指引》《可信数据空间发展行动计划（2024—2028年）》《可信数据空间技术架构》等相关文件，并结合医疗健康行业数据流通利用特点进行补充和完善，确保标准术语表述统一、准确、规范，为标准实施提供统一的理解基础。</w:t>
      </w:r>
    </w:p>
    <w:p w14:paraId="51269F6A">
      <w:pPr>
        <w:ind w:firstLine="420" w:firstLineChars="150"/>
        <w:outlineLvl w:val="0"/>
        <w:rPr>
          <w:rFonts w:hint="eastAsia"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val="en-US" w:eastAsia="zh-CN"/>
        </w:rPr>
        <w:t>4</w:t>
      </w:r>
      <w:r>
        <w:rPr>
          <w:rFonts w:hint="eastAsia" w:ascii="Times New Roman" w:hAnsi="Times New Roman" w:eastAsia="仿宋_GB2312" w:cs="Times New Roman"/>
          <w:sz w:val="28"/>
          <w:szCs w:val="28"/>
        </w:rPr>
        <w:t>、</w:t>
      </w:r>
      <w:r>
        <w:rPr>
          <w:rFonts w:hint="eastAsia" w:ascii="Times New Roman" w:hAnsi="Times New Roman" w:eastAsia="仿宋_GB2312" w:cs="Times New Roman"/>
          <w:sz w:val="28"/>
          <w:szCs w:val="28"/>
          <w:lang w:val="en-US" w:eastAsia="zh-CN"/>
        </w:rPr>
        <w:t>缩略语</w:t>
      </w:r>
    </w:p>
    <w:p w14:paraId="6836B06F">
      <w:pPr>
        <w:ind w:firstLine="420" w:firstLineChars="15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为便于标准编写和使用，本标准对医疗机构可信数据空间建设过程中涉及的常用专业术语英文缩写进行了统一规定，包括人工智能（AI）、应用程序接口（API）、电子病历（EMR）、医院信息系统（HIS）、实验室信息系统（LIS）、医学影像存档与传输系统（PACS）、区域卫生信息平台（RHIP）、可信执行环境（TEE）、联邦学习（FL）、安全多方计算（MPC）等。缩略语选取主要依据国家标准、行业标准及医疗信息化领域通用技术规范，符合行业普遍认知和应用习惯。</w:t>
      </w:r>
    </w:p>
    <w:p w14:paraId="628B95CC">
      <w:pPr>
        <w:ind w:firstLine="420" w:firstLineChars="150"/>
        <w:outlineLvl w:val="0"/>
        <w:rPr>
          <w:rFonts w:hint="eastAsia" w:ascii="Times New Roman" w:hAnsi="Times New Roman" w:eastAsia="仿宋_GB2312" w:cs="Times New Roman"/>
          <w:sz w:val="30"/>
          <w:szCs w:val="30"/>
          <w:lang w:eastAsia="zh-CN"/>
        </w:rPr>
      </w:pPr>
      <w:r>
        <w:rPr>
          <w:rFonts w:hint="eastAsia" w:ascii="Times New Roman" w:hAnsi="Times New Roman" w:eastAsia="仿宋_GB2312" w:cs="Times New Roman"/>
          <w:sz w:val="28"/>
          <w:szCs w:val="28"/>
          <w:lang w:val="en-US" w:eastAsia="zh-CN"/>
        </w:rPr>
        <w:t>5</w:t>
      </w:r>
      <w:r>
        <w:rPr>
          <w:rFonts w:hint="eastAsia" w:ascii="Times New Roman" w:hAnsi="Times New Roman" w:eastAsia="仿宋_GB2312" w:cs="Times New Roman"/>
          <w:sz w:val="28"/>
          <w:szCs w:val="28"/>
        </w:rPr>
        <w:t>、</w:t>
      </w:r>
      <w:r>
        <w:rPr>
          <w:rFonts w:hint="eastAsia" w:ascii="Times New Roman" w:hAnsi="Times New Roman" w:eastAsia="仿宋_GB2312" w:cs="Times New Roman"/>
          <w:sz w:val="28"/>
          <w:szCs w:val="28"/>
          <w:lang w:val="en-US" w:eastAsia="zh-CN"/>
        </w:rPr>
        <w:t>技术框架</w:t>
      </w:r>
    </w:p>
    <w:p w14:paraId="5D0F0F52">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本标准结合国家可信数据空间总体架构要求和医疗健康行业数据流通利用需求，构建了医疗机构可信数据空间总体技术框架。</w:t>
      </w:r>
    </w:p>
    <w:p w14:paraId="44D05C8F">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技术框架主要包括参与主体、基础设施层、数据资源层、可信能力层、数据服务层和应用生态层五个层次。其中，参与主体包括数据提供方、数据使用方、数据服务方、数据空间运营方和监管机构；基础设施层为可信数据空间提供网络、算力、存储和密码支撑；数据资源层实现医疗健康数据资源汇聚和管理；可信能力层实现身份认证、授权管理、访问控制、可信存证和审计监管；数据服务层提供数据共享交换、数据产品和数据服务能力；应用生态层支撑医疗服务、医学科研、医院管理、公共卫生和人工智能等应用场景。</w:t>
      </w:r>
    </w:p>
    <w:p w14:paraId="5843B60E">
      <w:pPr>
        <w:ind w:firstLine="420" w:firstLineChars="15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技术框架设计主要参考国家数据局发布的可信数据空间技术架构体系，同时结合医疗行业数据安全要求和业务应用特点进行适配和扩展，体现医疗机构可信数据空间建设的行业特征。</w:t>
      </w:r>
    </w:p>
    <w:p w14:paraId="08DF4A6D">
      <w:pPr>
        <w:ind w:firstLine="420" w:firstLineChars="15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6</w:t>
      </w:r>
      <w:r>
        <w:rPr>
          <w:rFonts w:hint="eastAsia" w:ascii="Times New Roman" w:hAnsi="Times New Roman" w:eastAsia="仿宋_GB2312" w:cs="Times New Roman"/>
          <w:sz w:val="28"/>
          <w:szCs w:val="28"/>
        </w:rPr>
        <w:t>、技术要求</w:t>
      </w:r>
    </w:p>
    <w:p w14:paraId="7A8F799C">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本标准从基础设施建设、数据资源建设、可信能力建设、数据流通利用建设、安全保障建设、运营管理和运行维护等方面提出建设要求。</w:t>
      </w:r>
    </w:p>
    <w:p w14:paraId="466572FB">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基础设施建设重点规范网络、算力、存储、容灾备份和密码基础设施建设要求；数据资源建设重点规范数据资源体系、分类分级、目录管理和数据质量管理要求；可信能力建设重点规范可信身份管理、授权管理、访问控制、合约规则管理、审计管理和数据存证要求；数据流通利用建设重点规范数据共享交换、数据产品开发、数据服务供给和数据价值实现要求；安全保障建设重点规范数据安全、个人信息保护、隐私计算和应急管理要求；运营管理和运行维护部分重点规范组织管理、服务管理、风险管理和运维管理要求。</w:t>
      </w:r>
    </w:p>
    <w:p w14:paraId="7936FCAE">
      <w:pPr>
        <w:ind w:firstLine="420" w:firstLineChars="15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相关技术要求主要依据国家数据基础设施建设要求、可信数据空间能力框架以及医疗行业数据管理和安全管理规范确定，兼顾先进性、适用性和可实施性。</w:t>
      </w:r>
    </w:p>
    <w:p w14:paraId="164B9BDA">
      <w:pPr>
        <w:ind w:firstLine="420" w:firstLineChars="15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7</w:t>
      </w:r>
      <w:r>
        <w:rPr>
          <w:rFonts w:hint="eastAsia" w:ascii="Times New Roman" w:hAnsi="Times New Roman" w:eastAsia="仿宋_GB2312" w:cs="Times New Roman"/>
          <w:sz w:val="28"/>
          <w:szCs w:val="28"/>
        </w:rPr>
        <w:t>、标准中关键的技术指标、标准内容等的制定依据</w:t>
      </w:r>
    </w:p>
    <w:p w14:paraId="1943A345">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本标准关键技术指标和主要内容的制定，充分参考了国家数据基础设施建设、可信数据空间建设以及医疗健康行业数字化发展相关政策文件、标准规范和实践经验。</w:t>
      </w:r>
    </w:p>
    <w:p w14:paraId="24885627">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在总体架构方面，主要依据《国家数据基础设施建设指引》《可信数据空间发展行动计划（2024—2028年）》和可信数据空间技术架构相关要求，构建“基础设施层、数据资源层、可信能力层、数据服务层、应用生态层”的总体架构体系。</w:t>
      </w:r>
    </w:p>
    <w:p w14:paraId="15471831">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在可信能力建设方面，重点参考国家可信数据空间关于身份可信、资源可信、过程可信和结果可信的建设要求，提出可信身份管理、数据授权管理、访问控制管理、全流程审计管理和数据确权存证等能力要求。</w:t>
      </w:r>
    </w:p>
    <w:p w14:paraId="3B4DC0A3">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在安全保障方面，依据《中华人民共和国网络安全法》《中华人民共和国数据安全法》《中华人民共和国个人信息保护法》等法律法规要求，提出数据分类分级保护、个人信息保护、隐私计算、安全监测预警和应急响应等要求。</w:t>
      </w:r>
    </w:p>
    <w:p w14:paraId="03068501">
      <w:pPr>
        <w:ind w:firstLine="420" w:firstLineChars="15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在数据流通利用方面，结合国家数据要素市场化配置改革要求以及医疗健康行业实际需求，提出数据共享交换、数据产品开发、数据服务供给、数据交易流通和数据价值实现等建设内容。</w:t>
      </w:r>
    </w:p>
    <w:p w14:paraId="755D6823">
      <w:pPr>
        <w:ind w:firstLine="420" w:firstLineChars="15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标准相关技术指标坚持科学合理、适度先进、符合行业实际的原则，充分考虑当前医疗机构信息化建设水平和可信数据空间发展阶段，确保标准具有较强的指导性、可操作性和推广应用价值。</w:t>
      </w:r>
    </w:p>
    <w:p w14:paraId="110E3ED1">
      <w:pPr>
        <w:spacing w:before="156" w:beforeLines="50" w:after="156" w:afterLines="50"/>
        <w:rPr>
          <w:rFonts w:ascii="黑体" w:hAnsi="黑体" w:eastAsia="黑体" w:cs="Times New Roman"/>
          <w:b/>
          <w:sz w:val="28"/>
          <w:szCs w:val="28"/>
        </w:rPr>
      </w:pPr>
      <w:r>
        <w:rPr>
          <w:rFonts w:hint="eastAsia" w:ascii="黑体" w:hAnsi="黑体" w:eastAsia="黑体" w:cs="Times New Roman"/>
          <w:b/>
          <w:sz w:val="28"/>
          <w:szCs w:val="28"/>
        </w:rPr>
        <w:t>四、与国内外法律、法规和标准相关情况的说明</w:t>
      </w:r>
    </w:p>
    <w:p w14:paraId="531A7142">
      <w:pPr>
        <w:ind w:firstLine="560" w:firstLineChars="20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本标准在编制过程中，严格遵循国家现行法律法规、政策文件和相关标准规范要求，内容与现行法律法规保持一致，不存在冲突和抵触情况。</w:t>
      </w:r>
    </w:p>
    <w:p w14:paraId="28EDE8C0">
      <w:pPr>
        <w:ind w:firstLine="560" w:firstLineChars="20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在法律法规方面，本标准主要依据《中华人民共和国网络安全法》《中华人民共和国数据安全法》《中华人民共和国个人信息保护法》《中华人民共和国电子签名法》等法律法规，以及国家关于数据基础设施建设、数据要素市场化配置改革和医疗健康信息化建设的相关政策文件制定，充分体现数据安全、个人信息保护和数据合规利用等要求。</w:t>
      </w:r>
    </w:p>
    <w:p w14:paraId="33B2D83D">
      <w:pPr>
        <w:ind w:firstLine="560" w:firstLineChars="20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在标准规范方面，本标准充分参考国家数据基础设施建设、可信数据空间建设、数据管理和医疗健康信息化等领域相关国家标准、行业标准和技术规范，包括《国家数据基础设施建设指引》《可信数据空间发展行动计划（2024—2028年）》《信息安全技术 网络安全等级保护基本要求》《信息安全技术 个人信息安全规范》《健康医疗数据共享开放应用标准》等相关标准成果。同时借鉴国内可信数据空间、隐私计算、联邦学习、数据流通利用等领域的先进实践经验，结合医疗行业特点进行适配和完善。</w:t>
      </w:r>
    </w:p>
    <w:p w14:paraId="6C3D0FF3">
      <w:pPr>
        <w:ind w:firstLine="560" w:firstLineChars="200"/>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在国际参考方面，本标准借鉴了欧盟《欧洲数据战略》中的九大行业数据空间计划、国际数据空间协会（IDSA）数据空间参考架构、GAIA-X、健康数据空间（Health Data Space）等相关理念和建设经验，吸收数据主权、数据授权、可信流通、隐私保护和价值共创等先进理念，并结合我国医疗健康行业管理要求和应用场景进行了本地化设计。</w:t>
      </w:r>
    </w:p>
    <w:p w14:paraId="2EBE09B8">
      <w:pPr>
        <w:ind w:firstLine="560" w:firstLineChars="200"/>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总体来看，本标准与现行法律法规、政策文件以及相关标准体系协调一致，是对现有法律法规和标准规范在医疗机构可信数据空间建设领域的细化和补充，可为医疗机构可信数据空间建设提供统一规范和实施依据。</w:t>
      </w:r>
    </w:p>
    <w:p w14:paraId="4B879AD4">
      <w:pPr>
        <w:pStyle w:val="2"/>
        <w:spacing w:before="156" w:beforeLines="50" w:after="156" w:afterLines="50" w:line="240" w:lineRule="auto"/>
      </w:pPr>
      <w:r>
        <w:rPr>
          <w:rFonts w:hint="eastAsia"/>
        </w:rPr>
        <w:t>五、其他需要说明的问题</w:t>
      </w:r>
    </w:p>
    <w:p w14:paraId="6C3A199F">
      <w:pPr>
        <w:spacing w:line="360" w:lineRule="auto"/>
        <w:ind w:firstLine="495"/>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本标准为推荐性团体标准，在编制过程中充分结合国家可信数据空间建设要求和医疗行业实际需求，具有较强的指导性、适用性和可操作性，可根据政策发展、技术进步和行业实践情况适时修订完善。</w:t>
      </w:r>
    </w:p>
    <w:p w14:paraId="0BF5DE2E"/>
    <w:p w14:paraId="72593019"/>
    <w:p w14:paraId="6297216C"/>
    <w:p w14:paraId="5AEA0D44">
      <w:pPr>
        <w:widowControl/>
        <w:ind w:left="425" w:firstLine="200"/>
        <w:jc w:val="right"/>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w:t>
      </w:r>
      <w:r>
        <w:rPr>
          <w:rFonts w:hint="eastAsia" w:ascii="Times New Roman" w:hAnsi="Times New Roman" w:eastAsia="仿宋_GB2312" w:cs="Times New Roman"/>
          <w:sz w:val="28"/>
          <w:szCs w:val="28"/>
          <w:lang w:eastAsia="zh-CN"/>
        </w:rPr>
        <w:t>医疗机构可信数据空间建设指南</w:t>
      </w:r>
      <w:r>
        <w:rPr>
          <w:rFonts w:hint="eastAsia" w:ascii="Times New Roman" w:hAnsi="Times New Roman" w:eastAsia="仿宋_GB2312" w:cs="Times New Roman"/>
          <w:sz w:val="28"/>
          <w:szCs w:val="28"/>
        </w:rPr>
        <w:t>》编制组</w:t>
      </w:r>
    </w:p>
    <w:p w14:paraId="600BCC28">
      <w:pPr>
        <w:widowControl/>
        <w:ind w:left="425" w:firstLine="200"/>
        <w:jc w:val="right"/>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202</w:t>
      </w:r>
      <w:r>
        <w:rPr>
          <w:rFonts w:hint="eastAsia" w:ascii="Times New Roman" w:hAnsi="Times New Roman" w:eastAsia="仿宋_GB2312" w:cs="Times New Roman"/>
          <w:sz w:val="28"/>
          <w:szCs w:val="28"/>
          <w:lang w:val="en-US" w:eastAsia="zh-CN"/>
        </w:rPr>
        <w:t>6</w:t>
      </w:r>
      <w:r>
        <w:rPr>
          <w:rFonts w:hint="eastAsia" w:ascii="Times New Roman" w:hAnsi="Times New Roman" w:eastAsia="仿宋_GB2312" w:cs="Times New Roman"/>
          <w:sz w:val="28"/>
          <w:szCs w:val="28"/>
        </w:rPr>
        <w:t>年</w:t>
      </w:r>
      <w:r>
        <w:rPr>
          <w:rFonts w:hint="eastAsia" w:ascii="Times New Roman" w:hAnsi="Times New Roman" w:eastAsia="仿宋_GB2312" w:cs="Times New Roman"/>
          <w:sz w:val="28"/>
          <w:szCs w:val="28"/>
          <w:lang w:val="en-US" w:eastAsia="zh-CN"/>
        </w:rPr>
        <w:t>06</w:t>
      </w:r>
      <w:r>
        <w:rPr>
          <w:rFonts w:hint="eastAsia" w:ascii="Times New Roman" w:hAnsi="Times New Roman" w:eastAsia="仿宋_GB2312" w:cs="Times New Roman"/>
          <w:sz w:val="28"/>
          <w:szCs w:val="28"/>
        </w:rPr>
        <w:t>月</w:t>
      </w:r>
    </w:p>
    <w:sectPr>
      <w:footerReference r:id="rId5" w:type="firs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1670498-5902-4B3B-B86C-2AEFFF5E45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D7A035EF-934C-4B80-BA79-C8A9CEF179F1}"/>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3" w:fontKey="{77B5EE43-7D55-43A7-AC77-7E62921E690D}"/>
  </w:font>
  <w:font w:name="楷体">
    <w:panose1 w:val="02010609060101010101"/>
    <w:charset w:val="86"/>
    <w:family w:val="modern"/>
    <w:pitch w:val="default"/>
    <w:sig w:usb0="800002BF" w:usb1="38CF7CFA" w:usb2="00000016" w:usb3="00000000" w:csb0="00040001" w:csb1="00000000"/>
    <w:embedRegular r:id="rId4" w:fontKey="{EA1A1FAD-B62F-4874-8ED1-1384F3538367}"/>
  </w:font>
  <w:font w:name="WPSEMBED1">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07559596"/>
      <w:docPartObj>
        <w:docPartGallery w:val="autotext"/>
      </w:docPartObj>
    </w:sdtPr>
    <w:sdtContent>
      <w:p w14:paraId="28E344F7">
        <w:pPr>
          <w:pStyle w:val="6"/>
          <w:jc w:val="center"/>
        </w:pPr>
        <w:r>
          <w:fldChar w:fldCharType="begin"/>
        </w:r>
        <w:r>
          <w:instrText xml:space="preserve">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93809">
    <w:pPr>
      <w:pStyle w:val="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6366774"/>
      <w:docPartObj>
        <w:docPartGallery w:val="autotext"/>
      </w:docPartObj>
    </w:sdtPr>
    <w:sdtContent>
      <w:p w14:paraId="46105D26">
        <w:pPr>
          <w:pStyle w:val="6"/>
          <w:jc w:val="center"/>
        </w:pPr>
        <w:r>
          <w:fldChar w:fldCharType="begin"/>
        </w:r>
        <w:r>
          <w:instrText xml:space="preserve">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EE2"/>
    <w:rsid w:val="00003F0E"/>
    <w:rsid w:val="00014363"/>
    <w:rsid w:val="000150B4"/>
    <w:rsid w:val="00053669"/>
    <w:rsid w:val="00054307"/>
    <w:rsid w:val="00061E91"/>
    <w:rsid w:val="000676D2"/>
    <w:rsid w:val="00090246"/>
    <w:rsid w:val="00096D4A"/>
    <w:rsid w:val="000A2D90"/>
    <w:rsid w:val="000B1C43"/>
    <w:rsid w:val="000C7AF8"/>
    <w:rsid w:val="000E6BCD"/>
    <w:rsid w:val="000E71F1"/>
    <w:rsid w:val="000F2E3B"/>
    <w:rsid w:val="001064D8"/>
    <w:rsid w:val="001068EE"/>
    <w:rsid w:val="001069C1"/>
    <w:rsid w:val="00111E94"/>
    <w:rsid w:val="0012390D"/>
    <w:rsid w:val="00123FA2"/>
    <w:rsid w:val="00154CF0"/>
    <w:rsid w:val="00157AAD"/>
    <w:rsid w:val="001710A7"/>
    <w:rsid w:val="00180206"/>
    <w:rsid w:val="00180814"/>
    <w:rsid w:val="00182DBF"/>
    <w:rsid w:val="001836B6"/>
    <w:rsid w:val="00197EE6"/>
    <w:rsid w:val="001A071B"/>
    <w:rsid w:val="001A2786"/>
    <w:rsid w:val="001B089D"/>
    <w:rsid w:val="001B58FE"/>
    <w:rsid w:val="001B5939"/>
    <w:rsid w:val="001C43FC"/>
    <w:rsid w:val="001D435F"/>
    <w:rsid w:val="001E4A66"/>
    <w:rsid w:val="001E51D4"/>
    <w:rsid w:val="001E5C6D"/>
    <w:rsid w:val="001F4197"/>
    <w:rsid w:val="001F692F"/>
    <w:rsid w:val="001F7254"/>
    <w:rsid w:val="00204A0D"/>
    <w:rsid w:val="00210933"/>
    <w:rsid w:val="00211EBC"/>
    <w:rsid w:val="002219DB"/>
    <w:rsid w:val="00231625"/>
    <w:rsid w:val="00231F14"/>
    <w:rsid w:val="002628DA"/>
    <w:rsid w:val="00270B1C"/>
    <w:rsid w:val="00284018"/>
    <w:rsid w:val="002957B2"/>
    <w:rsid w:val="002A4D74"/>
    <w:rsid w:val="002A58DA"/>
    <w:rsid w:val="002E0ADD"/>
    <w:rsid w:val="002E587A"/>
    <w:rsid w:val="00311EB6"/>
    <w:rsid w:val="003170A4"/>
    <w:rsid w:val="00323650"/>
    <w:rsid w:val="00355679"/>
    <w:rsid w:val="00357494"/>
    <w:rsid w:val="003641F6"/>
    <w:rsid w:val="00365488"/>
    <w:rsid w:val="00366268"/>
    <w:rsid w:val="00367D2C"/>
    <w:rsid w:val="00371714"/>
    <w:rsid w:val="00384A13"/>
    <w:rsid w:val="00385565"/>
    <w:rsid w:val="00390B9D"/>
    <w:rsid w:val="0039434A"/>
    <w:rsid w:val="003B5E39"/>
    <w:rsid w:val="003C0CB8"/>
    <w:rsid w:val="003D2B31"/>
    <w:rsid w:val="004030FF"/>
    <w:rsid w:val="00403EF6"/>
    <w:rsid w:val="00405EE2"/>
    <w:rsid w:val="004206B0"/>
    <w:rsid w:val="00423368"/>
    <w:rsid w:val="00430779"/>
    <w:rsid w:val="00441359"/>
    <w:rsid w:val="0044419D"/>
    <w:rsid w:val="00450490"/>
    <w:rsid w:val="004601C6"/>
    <w:rsid w:val="00460B61"/>
    <w:rsid w:val="00462ACF"/>
    <w:rsid w:val="00464333"/>
    <w:rsid w:val="00467A18"/>
    <w:rsid w:val="004706FF"/>
    <w:rsid w:val="00473973"/>
    <w:rsid w:val="00483E3A"/>
    <w:rsid w:val="00495657"/>
    <w:rsid w:val="004968D4"/>
    <w:rsid w:val="004B0BDB"/>
    <w:rsid w:val="004C4215"/>
    <w:rsid w:val="004E4A9B"/>
    <w:rsid w:val="0050206C"/>
    <w:rsid w:val="00504A85"/>
    <w:rsid w:val="005208EA"/>
    <w:rsid w:val="0052736E"/>
    <w:rsid w:val="005308D2"/>
    <w:rsid w:val="00537A70"/>
    <w:rsid w:val="00546026"/>
    <w:rsid w:val="00553F5B"/>
    <w:rsid w:val="00554054"/>
    <w:rsid w:val="00572824"/>
    <w:rsid w:val="0057799D"/>
    <w:rsid w:val="00582C74"/>
    <w:rsid w:val="0058651B"/>
    <w:rsid w:val="00590CCF"/>
    <w:rsid w:val="005932A3"/>
    <w:rsid w:val="00593741"/>
    <w:rsid w:val="00597A82"/>
    <w:rsid w:val="005A407E"/>
    <w:rsid w:val="005A76F3"/>
    <w:rsid w:val="005C6E8E"/>
    <w:rsid w:val="005E204D"/>
    <w:rsid w:val="005E5980"/>
    <w:rsid w:val="006275BD"/>
    <w:rsid w:val="00634E0F"/>
    <w:rsid w:val="00643C86"/>
    <w:rsid w:val="00653C21"/>
    <w:rsid w:val="00655EA7"/>
    <w:rsid w:val="00657095"/>
    <w:rsid w:val="006611D5"/>
    <w:rsid w:val="006673DE"/>
    <w:rsid w:val="00670E24"/>
    <w:rsid w:val="00680B43"/>
    <w:rsid w:val="006849E4"/>
    <w:rsid w:val="006A0D23"/>
    <w:rsid w:val="006A246E"/>
    <w:rsid w:val="006C5DEE"/>
    <w:rsid w:val="006F1804"/>
    <w:rsid w:val="006F2A8E"/>
    <w:rsid w:val="006F3446"/>
    <w:rsid w:val="006F3F2C"/>
    <w:rsid w:val="006F5C16"/>
    <w:rsid w:val="0070301A"/>
    <w:rsid w:val="00710B32"/>
    <w:rsid w:val="007228B3"/>
    <w:rsid w:val="007337C1"/>
    <w:rsid w:val="00742642"/>
    <w:rsid w:val="00745BD5"/>
    <w:rsid w:val="00751251"/>
    <w:rsid w:val="00752389"/>
    <w:rsid w:val="00754F9C"/>
    <w:rsid w:val="00755BDF"/>
    <w:rsid w:val="007746D7"/>
    <w:rsid w:val="0077623F"/>
    <w:rsid w:val="00780FD7"/>
    <w:rsid w:val="00791F4B"/>
    <w:rsid w:val="007A73DB"/>
    <w:rsid w:val="007C4BE7"/>
    <w:rsid w:val="007D7C5A"/>
    <w:rsid w:val="007E1A7A"/>
    <w:rsid w:val="007E2086"/>
    <w:rsid w:val="007E2D8D"/>
    <w:rsid w:val="007F1E84"/>
    <w:rsid w:val="0080495A"/>
    <w:rsid w:val="00804B48"/>
    <w:rsid w:val="00831B8F"/>
    <w:rsid w:val="008416C9"/>
    <w:rsid w:val="00850BD7"/>
    <w:rsid w:val="008564AC"/>
    <w:rsid w:val="008628C7"/>
    <w:rsid w:val="00864A21"/>
    <w:rsid w:val="0086676E"/>
    <w:rsid w:val="00870887"/>
    <w:rsid w:val="00893475"/>
    <w:rsid w:val="00894A34"/>
    <w:rsid w:val="008A5048"/>
    <w:rsid w:val="008B7902"/>
    <w:rsid w:val="008D4438"/>
    <w:rsid w:val="008D4AFF"/>
    <w:rsid w:val="008E1FC3"/>
    <w:rsid w:val="008E2AD1"/>
    <w:rsid w:val="008F2934"/>
    <w:rsid w:val="009010E1"/>
    <w:rsid w:val="00911E40"/>
    <w:rsid w:val="00913045"/>
    <w:rsid w:val="00914675"/>
    <w:rsid w:val="00926039"/>
    <w:rsid w:val="00944EF8"/>
    <w:rsid w:val="00946486"/>
    <w:rsid w:val="009475F5"/>
    <w:rsid w:val="0095323C"/>
    <w:rsid w:val="00982657"/>
    <w:rsid w:val="00992E45"/>
    <w:rsid w:val="009A688F"/>
    <w:rsid w:val="009B1049"/>
    <w:rsid w:val="009B3170"/>
    <w:rsid w:val="009B73F7"/>
    <w:rsid w:val="009C0060"/>
    <w:rsid w:val="009F34A1"/>
    <w:rsid w:val="00A012DA"/>
    <w:rsid w:val="00A0234A"/>
    <w:rsid w:val="00A21200"/>
    <w:rsid w:val="00A242C2"/>
    <w:rsid w:val="00A27413"/>
    <w:rsid w:val="00A32C1E"/>
    <w:rsid w:val="00A370B6"/>
    <w:rsid w:val="00A639B3"/>
    <w:rsid w:val="00A665E4"/>
    <w:rsid w:val="00AA05A2"/>
    <w:rsid w:val="00AC4881"/>
    <w:rsid w:val="00AD76D7"/>
    <w:rsid w:val="00AF33DF"/>
    <w:rsid w:val="00B032D2"/>
    <w:rsid w:val="00B06B3D"/>
    <w:rsid w:val="00B06CF4"/>
    <w:rsid w:val="00B10178"/>
    <w:rsid w:val="00B109C2"/>
    <w:rsid w:val="00B2675B"/>
    <w:rsid w:val="00B35DD5"/>
    <w:rsid w:val="00B37635"/>
    <w:rsid w:val="00B40648"/>
    <w:rsid w:val="00B4655A"/>
    <w:rsid w:val="00B57351"/>
    <w:rsid w:val="00B65557"/>
    <w:rsid w:val="00B71D87"/>
    <w:rsid w:val="00B74A72"/>
    <w:rsid w:val="00B805DD"/>
    <w:rsid w:val="00B84A2F"/>
    <w:rsid w:val="00B84A76"/>
    <w:rsid w:val="00B90639"/>
    <w:rsid w:val="00B912AC"/>
    <w:rsid w:val="00B93045"/>
    <w:rsid w:val="00BA348B"/>
    <w:rsid w:val="00BA75F2"/>
    <w:rsid w:val="00BC0A7F"/>
    <w:rsid w:val="00BD265D"/>
    <w:rsid w:val="00BE3756"/>
    <w:rsid w:val="00C1174A"/>
    <w:rsid w:val="00C35E0A"/>
    <w:rsid w:val="00C3732E"/>
    <w:rsid w:val="00C40289"/>
    <w:rsid w:val="00C5149D"/>
    <w:rsid w:val="00C63D1F"/>
    <w:rsid w:val="00C7400F"/>
    <w:rsid w:val="00C81E2A"/>
    <w:rsid w:val="00C94286"/>
    <w:rsid w:val="00CA009D"/>
    <w:rsid w:val="00CB00EE"/>
    <w:rsid w:val="00CB5621"/>
    <w:rsid w:val="00CB62E7"/>
    <w:rsid w:val="00CC0F12"/>
    <w:rsid w:val="00CC5265"/>
    <w:rsid w:val="00CC7E26"/>
    <w:rsid w:val="00CD6418"/>
    <w:rsid w:val="00CE7985"/>
    <w:rsid w:val="00D07F30"/>
    <w:rsid w:val="00D115CB"/>
    <w:rsid w:val="00D27465"/>
    <w:rsid w:val="00D356B3"/>
    <w:rsid w:val="00D452A7"/>
    <w:rsid w:val="00D51AD5"/>
    <w:rsid w:val="00D63711"/>
    <w:rsid w:val="00D669A5"/>
    <w:rsid w:val="00D81211"/>
    <w:rsid w:val="00D92F43"/>
    <w:rsid w:val="00DA33A4"/>
    <w:rsid w:val="00DA40E8"/>
    <w:rsid w:val="00DB01D0"/>
    <w:rsid w:val="00DC0573"/>
    <w:rsid w:val="00DC0EA6"/>
    <w:rsid w:val="00DD2888"/>
    <w:rsid w:val="00DD3103"/>
    <w:rsid w:val="00DD3EF2"/>
    <w:rsid w:val="00DD76D9"/>
    <w:rsid w:val="00DF7CF5"/>
    <w:rsid w:val="00E02630"/>
    <w:rsid w:val="00E10133"/>
    <w:rsid w:val="00E15511"/>
    <w:rsid w:val="00E167CD"/>
    <w:rsid w:val="00E22385"/>
    <w:rsid w:val="00E33D5E"/>
    <w:rsid w:val="00E458EC"/>
    <w:rsid w:val="00E536C2"/>
    <w:rsid w:val="00E56D0D"/>
    <w:rsid w:val="00E724FB"/>
    <w:rsid w:val="00EA28C2"/>
    <w:rsid w:val="00EA3176"/>
    <w:rsid w:val="00EB1056"/>
    <w:rsid w:val="00EB1C3F"/>
    <w:rsid w:val="00EB490A"/>
    <w:rsid w:val="00EC3EB7"/>
    <w:rsid w:val="00EC4F64"/>
    <w:rsid w:val="00EC5B79"/>
    <w:rsid w:val="00EE5780"/>
    <w:rsid w:val="00EE7869"/>
    <w:rsid w:val="00EF0858"/>
    <w:rsid w:val="00F0213D"/>
    <w:rsid w:val="00F07EEB"/>
    <w:rsid w:val="00F07FDD"/>
    <w:rsid w:val="00F12853"/>
    <w:rsid w:val="00F20987"/>
    <w:rsid w:val="00F23172"/>
    <w:rsid w:val="00F80812"/>
    <w:rsid w:val="00F9337B"/>
    <w:rsid w:val="00F971A0"/>
    <w:rsid w:val="00FB454B"/>
    <w:rsid w:val="00FB5C42"/>
    <w:rsid w:val="00FE0D26"/>
    <w:rsid w:val="00FE1819"/>
    <w:rsid w:val="00FE363A"/>
    <w:rsid w:val="00FF3DE8"/>
    <w:rsid w:val="06E460DC"/>
    <w:rsid w:val="076B7E59"/>
    <w:rsid w:val="08980CAC"/>
    <w:rsid w:val="0F602ADE"/>
    <w:rsid w:val="1BB6213C"/>
    <w:rsid w:val="21145650"/>
    <w:rsid w:val="26965165"/>
    <w:rsid w:val="2FE03B88"/>
    <w:rsid w:val="35632153"/>
    <w:rsid w:val="359C2EBC"/>
    <w:rsid w:val="571B0D5D"/>
    <w:rsid w:val="5C2313D1"/>
    <w:rsid w:val="667409A5"/>
    <w:rsid w:val="792C1933"/>
    <w:rsid w:val="7B2E7A0A"/>
    <w:rsid w:val="7F235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widowControl/>
      <w:spacing w:before="340" w:after="330" w:line="578" w:lineRule="auto"/>
      <w:jc w:val="left"/>
      <w:outlineLvl w:val="0"/>
    </w:pPr>
    <w:rPr>
      <w:rFonts w:ascii="Times New Roman" w:hAnsi="Times New Roman" w:eastAsia="黑体" w:cs="Times New Roman"/>
      <w:b/>
      <w:bCs/>
      <w:kern w:val="44"/>
      <w:sz w:val="28"/>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semiHidden/>
    <w:unhideWhenUsed/>
    <w:qFormat/>
    <w:uiPriority w:val="99"/>
    <w:pPr>
      <w:jc w:val="left"/>
    </w:pPr>
  </w:style>
  <w:style w:type="paragraph" w:styleId="4">
    <w:name w:val="Date"/>
    <w:basedOn w:val="1"/>
    <w:next w:val="1"/>
    <w:link w:val="14"/>
    <w:semiHidden/>
    <w:unhideWhenUsed/>
    <w:uiPriority w:val="99"/>
    <w:pPr>
      <w:ind w:left="100" w:leftChars="2500"/>
    </w:p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8"/>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7"/>
    <w:qFormat/>
    <w:uiPriority w:val="99"/>
    <w:rPr>
      <w:sz w:val="18"/>
      <w:szCs w:val="18"/>
    </w:rPr>
  </w:style>
  <w:style w:type="character" w:customStyle="1" w:styleId="13">
    <w:name w:val="页脚 字符"/>
    <w:basedOn w:val="10"/>
    <w:link w:val="6"/>
    <w:qFormat/>
    <w:uiPriority w:val="99"/>
    <w:rPr>
      <w:sz w:val="18"/>
      <w:szCs w:val="18"/>
    </w:rPr>
  </w:style>
  <w:style w:type="character" w:customStyle="1" w:styleId="14">
    <w:name w:val="日期 字符"/>
    <w:basedOn w:val="10"/>
    <w:link w:val="4"/>
    <w:semiHidden/>
    <w:qFormat/>
    <w:uiPriority w:val="99"/>
  </w:style>
  <w:style w:type="character" w:customStyle="1" w:styleId="15">
    <w:name w:val="标题 1 字符"/>
    <w:basedOn w:val="10"/>
    <w:link w:val="2"/>
    <w:qFormat/>
    <w:uiPriority w:val="9"/>
    <w:rPr>
      <w:rFonts w:ascii="Times New Roman" w:hAnsi="Times New Roman" w:eastAsia="黑体" w:cs="Times New Roman"/>
      <w:b/>
      <w:bCs/>
      <w:kern w:val="44"/>
      <w:sz w:val="28"/>
      <w:szCs w:val="44"/>
    </w:rPr>
  </w:style>
  <w:style w:type="character" w:customStyle="1" w:styleId="16">
    <w:name w:val="批注框文本 字符"/>
    <w:basedOn w:val="10"/>
    <w:link w:val="5"/>
    <w:semiHidden/>
    <w:qFormat/>
    <w:uiPriority w:val="99"/>
    <w:rPr>
      <w:sz w:val="18"/>
      <w:szCs w:val="18"/>
    </w:rPr>
  </w:style>
  <w:style w:type="character" w:customStyle="1" w:styleId="17">
    <w:name w:val="批注文字 字符"/>
    <w:basedOn w:val="10"/>
    <w:link w:val="3"/>
    <w:semiHidden/>
    <w:qFormat/>
    <w:uiPriority w:val="99"/>
  </w:style>
  <w:style w:type="character" w:customStyle="1" w:styleId="18">
    <w:name w:val="批注主题 字符"/>
    <w:basedOn w:val="17"/>
    <w:link w:val="8"/>
    <w:semiHidden/>
    <w:qFormat/>
    <w:uiPriority w:val="99"/>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8B20F-0BB8-4862-9C3D-6A87AA71F8D8}">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4220</Words>
  <Characters>4691</Characters>
  <Lines>20</Lines>
  <Paragraphs>5</Paragraphs>
  <TotalTime>79</TotalTime>
  <ScaleCrop>false</ScaleCrop>
  <LinksUpToDate>false</LinksUpToDate>
  <CharactersWithSpaces>4849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2020-07-16T02:26:00Z</dcterms:created>
  <dc:creator>user</dc:creator>
  <cp:lastModifiedBy>叶海生</cp:lastModifiedBy>
  <dcterms:modified xsi:type="dcterms:W3CDTF">2026-06-23T13:45:10Z</dcterms:modified>
  <cp:revision>1191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A61A6366BCE54CA8B1EAC0189F7BFCA0_13</vt:lpwstr>
  </property>
  <property fmtid="{D5CDD505-2E9C-101B-9397-08002B2CF9AE}" pid="4" name="KSOTemplateDocerSaveRecord">
    <vt:lpwstr>eyJoZGlkIjoiMjBjMDNiN2ExZTliNGYxNjhmZmFkYWU4ZjM0Njk0ODgiLCJ1c2VySWQiOiIxMDU1NzUyNTY4In0=</vt:lpwstr>
  </property>
</Properties>
</file>