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FF7D8" w14:textId="77777777" w:rsidR="00D20B7D" w:rsidRDefault="00D20B7D"/>
    <w:p w14:paraId="3F83D842" w14:textId="77777777" w:rsidR="00D20B7D" w:rsidRDefault="00D20B7D"/>
    <w:p w14:paraId="400C3E0F" w14:textId="77777777" w:rsidR="00D20B7D" w:rsidRDefault="00D20B7D"/>
    <w:p w14:paraId="30B5A1D6" w14:textId="77777777" w:rsidR="00D20B7D" w:rsidRDefault="00D20B7D"/>
    <w:p w14:paraId="430E6728" w14:textId="77777777" w:rsidR="00D20B7D" w:rsidRDefault="00D20B7D"/>
    <w:p w14:paraId="1A985043" w14:textId="77777777" w:rsidR="00D20B7D" w:rsidRDefault="00D20B7D"/>
    <w:p w14:paraId="604BCEF0" w14:textId="77777777" w:rsidR="00D20B7D" w:rsidRDefault="00D20B7D"/>
    <w:p w14:paraId="574EBAA8" w14:textId="77777777" w:rsidR="00D20B7D" w:rsidRDefault="00D20B7D"/>
    <w:p w14:paraId="025BA756" w14:textId="77777777" w:rsidR="00D20B7D" w:rsidRDefault="00D20B7D"/>
    <w:p w14:paraId="112F3BBA" w14:textId="77777777" w:rsidR="00D20B7D" w:rsidRDefault="00D20B7D"/>
    <w:p w14:paraId="5C130BDD" w14:textId="77777777" w:rsidR="00D20B7D" w:rsidRDefault="00D20B7D"/>
    <w:p w14:paraId="61BAFE17" w14:textId="77777777" w:rsidR="00D20B7D" w:rsidRDefault="00D20B7D"/>
    <w:p w14:paraId="5DB2AC45" w14:textId="77777777" w:rsidR="00D20B7D" w:rsidRDefault="00D20B7D"/>
    <w:p w14:paraId="2A87ACD5" w14:textId="77777777" w:rsidR="00D20B7D" w:rsidRDefault="00D20B7D"/>
    <w:p w14:paraId="31FE3215" w14:textId="77777777" w:rsidR="00D20B7D" w:rsidRDefault="00D20B7D"/>
    <w:p w14:paraId="7FD42D23" w14:textId="77777777" w:rsidR="00D20B7D" w:rsidRDefault="00D20B7D"/>
    <w:p w14:paraId="09D48BEF" w14:textId="77777777" w:rsidR="00D20B7D" w:rsidRDefault="00000000">
      <w:pPr>
        <w:jc w:val="center"/>
        <w:rPr>
          <w:rFonts w:ascii="方正小标宋简体" w:eastAsia="方正小标宋简体" w:hAnsi="Times New Roman" w:cs="Times New Roman"/>
          <w:b/>
          <w:bCs/>
          <w:sz w:val="44"/>
          <w:szCs w:val="44"/>
        </w:rPr>
      </w:pPr>
      <w:r>
        <w:rPr>
          <w:rFonts w:ascii="方正小标宋简体" w:eastAsia="方正小标宋简体" w:hAnsi="Times New Roman" w:cs="Times New Roman" w:hint="eastAsia"/>
          <w:b/>
          <w:bCs/>
          <w:sz w:val="44"/>
          <w:szCs w:val="44"/>
        </w:rPr>
        <w:t>团体标准</w:t>
      </w:r>
    </w:p>
    <w:p w14:paraId="3A08F8D0" w14:textId="5002F340" w:rsidR="00D20B7D" w:rsidRDefault="00000000">
      <w:pPr>
        <w:jc w:val="center"/>
        <w:rPr>
          <w:rFonts w:ascii="方正小标宋简体" w:eastAsia="方正小标宋简体" w:hAnsi="Times New Roman" w:cs="Times New Roman"/>
          <w:b/>
          <w:bCs/>
          <w:sz w:val="44"/>
          <w:szCs w:val="44"/>
        </w:rPr>
      </w:pPr>
      <w:r>
        <w:rPr>
          <w:rFonts w:ascii="方正小标宋简体" w:eastAsia="方正小标宋简体" w:hAnsi="Times New Roman" w:cs="Times New Roman" w:hint="eastAsia"/>
          <w:b/>
          <w:bCs/>
          <w:sz w:val="44"/>
          <w:szCs w:val="44"/>
        </w:rPr>
        <w:t>《</w:t>
      </w:r>
      <w:r w:rsidR="004778E7">
        <w:rPr>
          <w:rFonts w:ascii="方正小标宋简体" w:eastAsia="方正小标宋简体" w:hAnsi="Times New Roman" w:cs="Times New Roman" w:hint="eastAsia"/>
          <w:b/>
          <w:bCs/>
          <w:sz w:val="44"/>
          <w:szCs w:val="44"/>
        </w:rPr>
        <w:t>跨信任域医疗健康数据共享与流通技术实施指南</w:t>
      </w:r>
      <w:r>
        <w:rPr>
          <w:rFonts w:ascii="方正小标宋简体" w:eastAsia="方正小标宋简体" w:hAnsi="Times New Roman" w:cs="Times New Roman" w:hint="eastAsia"/>
          <w:b/>
          <w:bCs/>
          <w:sz w:val="44"/>
          <w:szCs w:val="44"/>
        </w:rPr>
        <w:t>》（征求意见稿）编制说明</w:t>
      </w:r>
    </w:p>
    <w:p w14:paraId="053E04C1" w14:textId="77777777" w:rsidR="00D20B7D" w:rsidRDefault="00D20B7D">
      <w:pPr>
        <w:jc w:val="center"/>
        <w:rPr>
          <w:rFonts w:ascii="方正小标宋简体" w:eastAsia="方正小标宋简体" w:hAnsi="Times New Roman" w:cs="Times New Roman"/>
          <w:b/>
          <w:bCs/>
          <w:sz w:val="44"/>
          <w:szCs w:val="44"/>
        </w:rPr>
      </w:pPr>
    </w:p>
    <w:p w14:paraId="374914A4" w14:textId="77777777" w:rsidR="00D20B7D" w:rsidRDefault="00D20B7D">
      <w:pPr>
        <w:jc w:val="center"/>
        <w:rPr>
          <w:rFonts w:ascii="方正小标宋简体" w:eastAsia="方正小标宋简体" w:hAnsi="Times New Roman" w:cs="Times New Roman"/>
          <w:b/>
          <w:bCs/>
          <w:sz w:val="44"/>
          <w:szCs w:val="44"/>
        </w:rPr>
      </w:pPr>
    </w:p>
    <w:p w14:paraId="09A997B8" w14:textId="77777777" w:rsidR="00D20B7D" w:rsidRDefault="00D20B7D">
      <w:pPr>
        <w:jc w:val="center"/>
        <w:rPr>
          <w:rFonts w:ascii="方正小标宋简体" w:eastAsia="方正小标宋简体" w:hAnsi="Times New Roman" w:cs="Times New Roman"/>
          <w:b/>
          <w:bCs/>
          <w:sz w:val="44"/>
          <w:szCs w:val="44"/>
        </w:rPr>
      </w:pPr>
    </w:p>
    <w:p w14:paraId="4A2E33E7" w14:textId="77777777" w:rsidR="00D20B7D" w:rsidRDefault="00D20B7D">
      <w:pPr>
        <w:jc w:val="center"/>
        <w:rPr>
          <w:rFonts w:ascii="方正小标宋简体" w:eastAsia="方正小标宋简体" w:hAnsi="Times New Roman" w:cs="Times New Roman"/>
          <w:b/>
          <w:bCs/>
          <w:sz w:val="44"/>
          <w:szCs w:val="44"/>
        </w:rPr>
      </w:pPr>
    </w:p>
    <w:p w14:paraId="6989F863" w14:textId="77777777" w:rsidR="00D20B7D" w:rsidRDefault="00D20B7D"/>
    <w:p w14:paraId="6D0AD524" w14:textId="156448A2" w:rsidR="00D20B7D" w:rsidRDefault="00000000">
      <w:pPr>
        <w:jc w:val="center"/>
        <w:rPr>
          <w:rFonts w:ascii="楷体" w:eastAsia="楷体" w:hAnsi="楷体" w:cs="Times New Roman"/>
          <w:b/>
          <w:bCs/>
          <w:color w:val="000000"/>
          <w:sz w:val="30"/>
          <w:szCs w:val="30"/>
        </w:rPr>
      </w:pPr>
      <w:r>
        <w:rPr>
          <w:rFonts w:ascii="楷体" w:eastAsia="楷体" w:hAnsi="楷体" w:cs="Times New Roman" w:hint="eastAsia"/>
          <w:b/>
          <w:bCs/>
          <w:color w:val="000000"/>
          <w:sz w:val="30"/>
          <w:szCs w:val="30"/>
        </w:rPr>
        <w:t>《</w:t>
      </w:r>
      <w:r w:rsidR="004778E7">
        <w:rPr>
          <w:rFonts w:ascii="楷体" w:eastAsia="楷体" w:hAnsi="楷体" w:cs="Times New Roman" w:hint="eastAsia"/>
          <w:b/>
          <w:bCs/>
          <w:color w:val="000000"/>
          <w:sz w:val="30"/>
          <w:szCs w:val="30"/>
        </w:rPr>
        <w:t>跨信任域医疗健康数据共享与流通技术实施指南</w:t>
      </w:r>
      <w:r>
        <w:rPr>
          <w:rFonts w:ascii="楷体" w:eastAsia="楷体" w:hAnsi="楷体" w:cs="Times New Roman" w:hint="eastAsia"/>
          <w:b/>
          <w:bCs/>
          <w:color w:val="000000"/>
          <w:sz w:val="30"/>
          <w:szCs w:val="30"/>
        </w:rPr>
        <w:t>》编制组</w:t>
      </w:r>
    </w:p>
    <w:p w14:paraId="539FA47D" w14:textId="77777777" w:rsidR="00D20B7D" w:rsidRDefault="00000000">
      <w:pPr>
        <w:jc w:val="center"/>
        <w:rPr>
          <w:rFonts w:ascii="楷体" w:eastAsia="楷体" w:hAnsi="楷体" w:cs="Times New Roman"/>
          <w:b/>
          <w:bCs/>
          <w:color w:val="000000"/>
          <w:sz w:val="30"/>
          <w:szCs w:val="30"/>
        </w:rPr>
      </w:pPr>
      <w:r>
        <w:rPr>
          <w:rFonts w:ascii="楷体" w:eastAsia="楷体" w:hAnsi="楷体" w:cs="Times New Roman" w:hint="eastAsia"/>
          <w:b/>
          <w:bCs/>
          <w:color w:val="000000"/>
          <w:sz w:val="30"/>
          <w:szCs w:val="30"/>
        </w:rPr>
        <w:t>2026年7月</w:t>
      </w:r>
    </w:p>
    <w:p w14:paraId="4FFA4ED3" w14:textId="77777777" w:rsidR="00D20B7D" w:rsidRDefault="00D20B7D">
      <w:pPr>
        <w:rPr>
          <w:rFonts w:ascii="楷体" w:eastAsia="楷体" w:hAnsi="楷体" w:cs="Times New Roman"/>
          <w:b/>
          <w:bCs/>
          <w:color w:val="000000"/>
          <w:sz w:val="30"/>
          <w:szCs w:val="30"/>
        </w:rPr>
        <w:sectPr w:rsidR="00D20B7D">
          <w:footerReference w:type="default" r:id="rId7"/>
          <w:footerReference w:type="first" r:id="rId8"/>
          <w:pgSz w:w="11906" w:h="16838"/>
          <w:pgMar w:top="1440" w:right="1800" w:bottom="1440" w:left="1800" w:header="851" w:footer="992" w:gutter="0"/>
          <w:cols w:space="425"/>
          <w:titlePg/>
          <w:docGrid w:type="lines" w:linePitch="312"/>
        </w:sectPr>
      </w:pPr>
    </w:p>
    <w:p w14:paraId="491B0F8F" w14:textId="00D0CA78" w:rsidR="00D20B7D" w:rsidRDefault="00000000">
      <w:pPr>
        <w:jc w:val="center"/>
        <w:rPr>
          <w:rFonts w:ascii="方正小标宋简体" w:eastAsia="方正小标宋简体" w:hAnsi="Times New Roman" w:cs="Times New Roman"/>
          <w:b/>
          <w:sz w:val="32"/>
          <w:szCs w:val="32"/>
        </w:rPr>
      </w:pPr>
      <w:r>
        <w:rPr>
          <w:rFonts w:ascii="方正小标宋简体" w:eastAsia="方正小标宋简体" w:hAnsi="Times New Roman" w:cs="Times New Roman" w:hint="eastAsia"/>
          <w:b/>
          <w:sz w:val="32"/>
          <w:szCs w:val="32"/>
        </w:rPr>
        <w:lastRenderedPageBreak/>
        <w:t>团体标准《</w:t>
      </w:r>
      <w:r w:rsidR="004778E7">
        <w:rPr>
          <w:rFonts w:ascii="方正小标宋简体" w:eastAsia="方正小标宋简体" w:hAnsi="Times New Roman" w:cs="Times New Roman" w:hint="eastAsia"/>
          <w:b/>
          <w:sz w:val="32"/>
          <w:szCs w:val="32"/>
        </w:rPr>
        <w:t>跨信任域医疗健康数据共享与流通技术实施指南</w:t>
      </w:r>
      <w:r>
        <w:rPr>
          <w:rFonts w:ascii="方正小标宋简体" w:eastAsia="方正小标宋简体" w:hAnsi="Times New Roman" w:cs="Times New Roman" w:hint="eastAsia"/>
          <w:b/>
          <w:sz w:val="32"/>
          <w:szCs w:val="32"/>
        </w:rPr>
        <w:t>》（征求意见稿）编制说明</w:t>
      </w:r>
    </w:p>
    <w:p w14:paraId="2E30BC10" w14:textId="77777777" w:rsidR="00D20B7D" w:rsidRDefault="00D20B7D">
      <w:pPr>
        <w:jc w:val="center"/>
        <w:rPr>
          <w:rFonts w:ascii="方正小标宋简体" w:eastAsia="方正小标宋简体" w:hAnsi="Times New Roman" w:cs="Times New Roman"/>
          <w:b/>
          <w:sz w:val="32"/>
          <w:szCs w:val="32"/>
        </w:rPr>
      </w:pPr>
    </w:p>
    <w:p w14:paraId="1EAB86DC" w14:textId="77777777" w:rsidR="00D20B7D" w:rsidRDefault="00000000">
      <w:pPr>
        <w:spacing w:beforeLines="50" w:before="156" w:afterLines="50" w:after="156"/>
        <w:rPr>
          <w:rFonts w:ascii="黑体" w:eastAsia="黑体" w:hAnsi="黑体" w:cs="Times New Roman"/>
          <w:b/>
          <w:sz w:val="28"/>
          <w:szCs w:val="28"/>
        </w:rPr>
      </w:pPr>
      <w:r>
        <w:rPr>
          <w:rFonts w:ascii="黑体" w:eastAsia="黑体" w:hAnsi="黑体" w:cs="Times New Roman" w:hint="eastAsia"/>
          <w:b/>
          <w:sz w:val="28"/>
          <w:szCs w:val="28"/>
        </w:rPr>
        <w:t>一、项目背景和必要性</w:t>
      </w:r>
    </w:p>
    <w:p w14:paraId="6461F4E2" w14:textId="77777777" w:rsidR="00D20B7D" w:rsidRDefault="00000000">
      <w:pPr>
        <w:spacing w:beforeLines="50" w:before="156" w:afterLines="50" w:after="156"/>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数据是数字经济时代的关键生产要素，也是推进卫生健康事业高质量发展的重要基础资源。医疗健康数据贯穿疾病预防、诊断治疗、康复护理、公共卫生、医学科研、健康管理和医疗保障等业务全过程，兼具高敏感性、高价值性、强关联性和长期影响性。随着区域全民健康信息平台、医联体和医共体、互联网医院、远程医疗、医学人工智能以及商业健康保险等应用加快发展，医疗健康数据需要在不同机构、不同系统、不同网络环境和不同责任主体之间依法有序流动。</w:t>
      </w:r>
    </w:p>
    <w:p w14:paraId="6C5ACD07" w14:textId="77777777" w:rsidR="00D20B7D" w:rsidRDefault="00000000">
      <w:pPr>
        <w:spacing w:beforeLines="50" w:before="156" w:afterLines="50" w:after="156"/>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传统的数据共享通常建立在同一机构、同一管理边界或相对固定的网络安全域内，而跨机构协同、跨区域诊疗、多中心科研、联合模型训练以及医疗、医保、商保等多方协作，往往跨越组织、网络、制度和技术边界。各参与方在管理制度、身份体系、数据标准、安全能力、授权机制和责任承担等方面存在差异，形成不同的“信任域”。数据一旦跨越原有信任域，原有访问控制和安全措施不能自然延伸，容易出现数据来源不清、授权边界不明、用途失控、重复传播、接口暴露、责任难以追溯等问题。</w:t>
      </w:r>
    </w:p>
    <w:p w14:paraId="1699BEB5" w14:textId="77777777" w:rsidR="00D20B7D" w:rsidRDefault="00000000">
      <w:pPr>
        <w:spacing w:beforeLines="50" w:before="156" w:afterLines="50" w:after="156"/>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国家层面已形成以《中华人民共和国网络安全法》《中华人民共和国数据安全法》《中华人民共和国个人信息保护法》以及《网络数</w:t>
      </w:r>
      <w:r>
        <w:rPr>
          <w:rFonts w:ascii="仿宋_GB2312" w:eastAsia="仿宋_GB2312" w:hAnsi="Times New Roman" w:cs="Times New Roman" w:hint="eastAsia"/>
          <w:sz w:val="28"/>
          <w:szCs w:val="28"/>
        </w:rPr>
        <w:lastRenderedPageBreak/>
        <w:t>据安全管理条例》等为核心的数据安全和个人信息保护制度体系。《“十四五”全民健康信息化规划》《医疗卫生机构网络安全管理办法》以及此前实施的全国医疗卫生机构信息互通共享三年攻坚行动，均对卫生健康信息互联互通、数据全生命周期安全管理和安全保障能力建设提出明确要求。《中共中央、国务院关于构建数据基础制度更好发挥数据要素作用的意见》提出“原始数据不出域、数据可用不可见”等要求，《“数据要素×”三年行动计划（2024—2026年）》进一步将医疗健康列为重点领域，推动电子病历共享、检查检验结果互认、医疗理赔协同、公共卫生监测和医疗数据融合创新。</w:t>
      </w:r>
    </w:p>
    <w:p w14:paraId="1AA4A743" w14:textId="77777777" w:rsidR="00D20B7D" w:rsidRDefault="00000000">
      <w:pPr>
        <w:spacing w:beforeLines="50" w:before="156" w:afterLines="50" w:after="156"/>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在实践中，现有标准多从网络安全等级保护、健康医疗数据安全、个人信息保护、数据分类分级、跨网交换或具体数据接口等单一维度提出要求，对“跨信任域”条件下如何统筹数据治理、技术控制、安全保障和组织管理，尚缺少面向实施的综合性指引。特别是临床医疗协同、模型训练、医学科研合作、公共卫生监测以及合规商业化应用等场景，需要在数据可用性与隐私保护之间建立可执行、可审计、可追责的平衡机制。</w:t>
      </w:r>
    </w:p>
    <w:p w14:paraId="103260E3" w14:textId="01767A45" w:rsidR="00D20B7D" w:rsidRDefault="00000000">
      <w:pPr>
        <w:spacing w:beforeLines="50" w:before="156" w:afterLines="50" w:after="156"/>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因此，编制《</w:t>
      </w:r>
      <w:r w:rsidR="004778E7">
        <w:rPr>
          <w:rFonts w:ascii="仿宋_GB2312" w:eastAsia="仿宋_GB2312" w:hAnsi="Times New Roman" w:cs="Times New Roman" w:hint="eastAsia"/>
          <w:sz w:val="28"/>
          <w:szCs w:val="28"/>
        </w:rPr>
        <w:t>跨信任域医疗健康数据共享与流通技术实施指南</w:t>
      </w:r>
      <w:r>
        <w:rPr>
          <w:rFonts w:ascii="仿宋_GB2312" w:eastAsia="仿宋_GB2312" w:hAnsi="Times New Roman" w:cs="Times New Roman" w:hint="eastAsia"/>
          <w:sz w:val="28"/>
          <w:szCs w:val="28"/>
        </w:rPr>
        <w:t>》团体标准，有利于统一跨信任域数据流通与共享的基本概念、参与方责任和安全目标，建立覆盖数据分类分级、质量、目录、全生命周期、隐私保护、接收方管理、传输存储、接口互操作、身份权限、加密审计和应急恢复等环节的实施框架；有利于为医疗卫生机构、卫生健康</w:t>
      </w:r>
      <w:r>
        <w:rPr>
          <w:rFonts w:ascii="仿宋_GB2312" w:eastAsia="仿宋_GB2312" w:hAnsi="Times New Roman" w:cs="Times New Roman" w:hint="eastAsia"/>
          <w:sz w:val="28"/>
          <w:szCs w:val="28"/>
        </w:rPr>
        <w:lastRenderedPageBreak/>
        <w:t>主管部门、区域健康信息平台、科研机构及相关技术服务单位开展制度建设、系统改造和安全评估提供依据；有利于在保障国家安全、公共利益和个人权益的前提下，促进医疗健康数据合规高效、安全有序流通，释放数据要素价值。</w:t>
      </w:r>
    </w:p>
    <w:p w14:paraId="77BBAB6B" w14:textId="77777777" w:rsidR="00D20B7D" w:rsidRDefault="00000000">
      <w:pPr>
        <w:spacing w:beforeLines="50" w:before="156" w:afterLines="50" w:after="156"/>
        <w:rPr>
          <w:rFonts w:ascii="黑体" w:eastAsia="黑体" w:hAnsi="黑体" w:cs="Times New Roman"/>
          <w:b/>
          <w:sz w:val="28"/>
          <w:szCs w:val="28"/>
        </w:rPr>
      </w:pPr>
      <w:r>
        <w:rPr>
          <w:rFonts w:ascii="黑体" w:eastAsia="黑体" w:hAnsi="黑体" w:cs="Times New Roman" w:hint="eastAsia"/>
          <w:b/>
          <w:sz w:val="28"/>
          <w:szCs w:val="28"/>
        </w:rPr>
        <w:t>二、工作简况</w:t>
      </w:r>
    </w:p>
    <w:p w14:paraId="75AC2898" w14:textId="77777777" w:rsidR="00D20B7D" w:rsidRDefault="00000000">
      <w:pPr>
        <w:ind w:left="1" w:firstLineChars="200" w:firstLine="562"/>
        <w:rPr>
          <w:rFonts w:ascii="楷体" w:eastAsia="楷体" w:hAnsi="楷体" w:cs="Times New Roman"/>
          <w:b/>
          <w:sz w:val="28"/>
          <w:szCs w:val="28"/>
        </w:rPr>
      </w:pPr>
      <w:r>
        <w:rPr>
          <w:rFonts w:ascii="楷体" w:eastAsia="楷体" w:hAnsi="楷体" w:cs="Times New Roman" w:hint="eastAsia"/>
          <w:b/>
          <w:sz w:val="28"/>
          <w:szCs w:val="28"/>
        </w:rPr>
        <w:t>（一）任务来源</w:t>
      </w:r>
    </w:p>
    <w:p w14:paraId="689E51D1" w14:textId="77777777" w:rsidR="00D20B7D" w:rsidRDefault="00000000">
      <w:pPr>
        <w:ind w:left="1" w:firstLineChars="200" w:firstLine="560"/>
      </w:pPr>
      <w:r>
        <w:rPr>
          <w:rFonts w:ascii="仿宋_GB2312" w:eastAsia="仿宋_GB2312" w:hAnsi="Times New Roman" w:cs="Times New Roman" w:hint="eastAsia"/>
          <w:sz w:val="28"/>
          <w:szCs w:val="28"/>
        </w:rPr>
        <w:t>20</w:t>
      </w:r>
      <w:r>
        <w:rPr>
          <w:rFonts w:ascii="仿宋_GB2312" w:eastAsia="仿宋_GB2312" w:hAnsi="Times New Roman" w:cs="Times New Roman"/>
          <w:sz w:val="28"/>
          <w:szCs w:val="28"/>
        </w:rPr>
        <w:t>2</w:t>
      </w:r>
      <w:r>
        <w:rPr>
          <w:rFonts w:ascii="仿宋_GB2312" w:eastAsia="仿宋_GB2312" w:hAnsi="Times New Roman" w:cs="Times New Roman" w:hint="eastAsia"/>
          <w:sz w:val="28"/>
          <w:szCs w:val="28"/>
        </w:rPr>
        <w:t>6年3月，根据广东省卫生经济学会团体标准制修订工作安排，由南方医科大学南方医院牵头，联合中山大学附属口腔医院、暨南大学附属顺德医院、广东省卫生经济学会、郑州市中心医院、密码与网络空间安全（黄埔）研究院、杭州数圭通科技有限公司、深圳迈瑞生物医疗电子股份有限公司、湛江中心医院、广州医科大学附属口腔医院、东莞市谢岗医院、广东省电信等医疗、科研、行业组织和技术单位，组织开展本标准的研究与编制工作。参与单位及主要起草人以标准报批稿最终确认信息为准。</w:t>
      </w:r>
    </w:p>
    <w:p w14:paraId="1CB5AFD8" w14:textId="77777777" w:rsidR="00D20B7D" w:rsidRDefault="00000000">
      <w:pPr>
        <w:ind w:left="1" w:firstLineChars="200" w:firstLine="562"/>
        <w:rPr>
          <w:rFonts w:ascii="楷体" w:eastAsia="楷体" w:hAnsi="楷体" w:cs="Times New Roman"/>
          <w:b/>
          <w:sz w:val="28"/>
          <w:szCs w:val="28"/>
        </w:rPr>
      </w:pPr>
      <w:r>
        <w:rPr>
          <w:rFonts w:ascii="楷体" w:eastAsia="楷体" w:hAnsi="楷体" w:cs="Times New Roman" w:hint="eastAsia"/>
          <w:b/>
          <w:sz w:val="28"/>
          <w:szCs w:val="28"/>
        </w:rPr>
        <w:t>（二）项目主要工作过程</w:t>
      </w:r>
    </w:p>
    <w:p w14:paraId="0127C10C" w14:textId="77777777" w:rsidR="00D20B7D" w:rsidRDefault="00000000">
      <w:pPr>
        <w:ind w:left="1" w:firstLineChars="200" w:firstLine="560"/>
        <w:rPr>
          <w:rFonts w:ascii="仿宋_GB2312" w:eastAsia="仿宋_GB2312" w:hAnsi="Times New Roman" w:cs="Times New Roman"/>
          <w:b/>
          <w:sz w:val="28"/>
          <w:szCs w:val="28"/>
        </w:rPr>
      </w:pPr>
      <w:r>
        <w:rPr>
          <w:rFonts w:ascii="仿宋_GB2312" w:eastAsia="仿宋_GB2312" w:hAnsi="Times New Roman" w:cs="Times New Roman" w:hint="eastAsia"/>
          <w:b/>
          <w:sz w:val="28"/>
          <w:szCs w:val="28"/>
        </w:rPr>
        <w:t>1.标准草案形成阶段</w:t>
      </w:r>
    </w:p>
    <w:p w14:paraId="64BB5092" w14:textId="77777777" w:rsidR="00D20B7D" w:rsidRDefault="00000000">
      <w:pPr>
        <w:spacing w:line="360" w:lineRule="auto"/>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20</w:t>
      </w:r>
      <w:r>
        <w:rPr>
          <w:rFonts w:ascii="仿宋_GB2312" w:eastAsia="仿宋_GB2312" w:hAnsi="Times New Roman" w:cs="Times New Roman"/>
          <w:sz w:val="28"/>
          <w:szCs w:val="28"/>
        </w:rPr>
        <w:t>2</w:t>
      </w:r>
      <w:r>
        <w:rPr>
          <w:rFonts w:ascii="仿宋_GB2312" w:eastAsia="仿宋_GB2312" w:hAnsi="Times New Roman" w:cs="Times New Roman" w:hint="eastAsia"/>
          <w:sz w:val="28"/>
          <w:szCs w:val="28"/>
        </w:rPr>
        <w:t>6年</w:t>
      </w:r>
      <w:r>
        <w:rPr>
          <w:rFonts w:ascii="仿宋_GB2312" w:eastAsia="仿宋_GB2312" w:hAnsi="Times New Roman" w:cs="Times New Roman"/>
          <w:sz w:val="28"/>
          <w:szCs w:val="28"/>
        </w:rPr>
        <w:t>3</w:t>
      </w:r>
      <w:r>
        <w:rPr>
          <w:rFonts w:ascii="仿宋_GB2312" w:eastAsia="仿宋_GB2312" w:hAnsi="Times New Roman" w:cs="Times New Roman" w:hint="eastAsia"/>
          <w:sz w:val="28"/>
          <w:szCs w:val="28"/>
        </w:rPr>
        <w:t>月至5月，编制组围绕医疗健康数据跨机构、跨区域、跨平台流通的业务需求，对远程会诊与转诊、检查检验结果共享、多中心科研、联合模型训练、公共卫生监测、保险理赔等典型场景进行了梳理，分析不同信任域之间在主体身份、数据授权、接口标准、安全能力、日志审计和责任划分方面的主要风险。同时，系统收集并研</w:t>
      </w:r>
      <w:r>
        <w:rPr>
          <w:rFonts w:ascii="仿宋_GB2312" w:eastAsia="仿宋_GB2312" w:hAnsi="Times New Roman" w:cs="Times New Roman" w:hint="eastAsia"/>
          <w:sz w:val="28"/>
          <w:szCs w:val="28"/>
        </w:rPr>
        <w:lastRenderedPageBreak/>
        <w:t>究国家法律法规、卫生健康行业政策、国家标准、行业标准、团体标准以及隐私保护计算、区块链和互操作性等技术资料，为确定标准范围和技术路线奠定基础。</w:t>
      </w:r>
    </w:p>
    <w:p w14:paraId="20BB7D41" w14:textId="77777777" w:rsidR="00D20B7D" w:rsidRDefault="00000000">
      <w:pPr>
        <w:spacing w:line="360" w:lineRule="auto"/>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在调研基础上，编制组以“合法合规、最小必要、全程可控、可用不可见、责任可追溯”为总体思路，构建了由安全目标、数据管理、技术要求、安全保障和安全管理组成的标准框架，明确“信任域”“健康医疗数据控制者”“跨信任域流通”“数据共享”等核心术语，形成标准初稿。初稿同时设置临床医疗协同、模型训练、医学科研合作、公共卫生监测与管理、商业化应用等资料性应用场景，用于验证条款的覆盖性和可实施性.</w:t>
      </w:r>
    </w:p>
    <w:p w14:paraId="6D259916" w14:textId="77777777" w:rsidR="00D20B7D" w:rsidRDefault="00000000">
      <w:pPr>
        <w:spacing w:line="360" w:lineRule="auto"/>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编制组结合医疗机构实际管理流程和信息系统建设情况，对数据分类分级与编码、数据质量和目录、全生命周期管理、接收方管理、数据传输和存储、接口互操作、去标识化、差分隐私、同态加密、多方安全计算、区块链存证、身份认证、授权控制、加密与密钥管理、安全审计和应急恢复等内容开展多轮研讨和修改。通过对条款适用范围、责任主体、规范用语和技术表述进行反复校核，形成团体标准初稿于2026年5月底形成了标准初稿。</w:t>
      </w:r>
    </w:p>
    <w:p w14:paraId="566ED5E1" w14:textId="77777777" w:rsidR="00D20B7D" w:rsidRDefault="00000000">
      <w:pPr>
        <w:ind w:left="1" w:firstLineChars="200" w:firstLine="560"/>
        <w:rPr>
          <w:rFonts w:ascii="仿宋_GB2312" w:eastAsia="仿宋_GB2312" w:hAnsi="Times New Roman" w:cs="Times New Roman"/>
          <w:b/>
          <w:sz w:val="28"/>
          <w:szCs w:val="28"/>
        </w:rPr>
      </w:pPr>
      <w:r>
        <w:rPr>
          <w:rFonts w:ascii="仿宋_GB2312" w:eastAsia="仿宋_GB2312" w:hAnsi="Times New Roman" w:cs="Times New Roman" w:hint="eastAsia"/>
          <w:b/>
          <w:sz w:val="28"/>
          <w:szCs w:val="28"/>
        </w:rPr>
        <w:t>2、标准征求意见稿形成阶段</w:t>
      </w:r>
    </w:p>
    <w:p w14:paraId="75100BE6" w14:textId="00F77EFA" w:rsidR="00D20B7D" w:rsidRDefault="00000000">
      <w:pPr>
        <w:ind w:left="1"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2026年6月底，标准工作组在广州召开了《</w:t>
      </w:r>
      <w:r w:rsidR="004778E7">
        <w:rPr>
          <w:rFonts w:ascii="仿宋_GB2312" w:eastAsia="仿宋_GB2312" w:hAnsi="Times New Roman" w:cs="Times New Roman" w:hint="eastAsia"/>
          <w:sz w:val="28"/>
          <w:szCs w:val="28"/>
        </w:rPr>
        <w:t>跨信任域医疗健康数据共享与流通技术实施指南</w:t>
      </w:r>
      <w:r>
        <w:rPr>
          <w:rFonts w:ascii="仿宋_GB2312" w:eastAsia="仿宋_GB2312" w:hAnsi="Times New Roman" w:cs="Times New Roman" w:hint="eastAsia"/>
          <w:sz w:val="28"/>
          <w:szCs w:val="28"/>
        </w:rPr>
        <w:t>》专家研讨会，在初稿基础上，编制组进一步按照GB/T 1.1—2020的有关要求，对标准名称、章条结构、术语一致性、规范性引用文件、要求性表述及附录内容进行整理，并</w:t>
      </w:r>
      <w:r>
        <w:rPr>
          <w:rFonts w:ascii="仿宋_GB2312" w:eastAsia="仿宋_GB2312" w:hAnsi="Times New Roman" w:cs="Times New Roman" w:hint="eastAsia"/>
          <w:sz w:val="28"/>
          <w:szCs w:val="28"/>
        </w:rPr>
        <w:lastRenderedPageBreak/>
        <w:t>结合现行数据安全、个人信息保护和卫生健康行业管理要求，对数据跨境、商业化应用、隐私保护计算等敏感条款进行合规性审视，形成标准征求意见稿及本编制说明，拟面向医疗卫生机构、卫生健康主管部门、科研机构、行业专家、数据技术服务单位及其他相关方广泛征求意见。</w:t>
      </w:r>
    </w:p>
    <w:p w14:paraId="4FBE7D06" w14:textId="77777777" w:rsidR="00D20B7D" w:rsidRDefault="00000000">
      <w:pPr>
        <w:spacing w:beforeLines="50" w:before="156" w:afterLines="50" w:after="156"/>
        <w:rPr>
          <w:rFonts w:ascii="仿宋_GB2312" w:eastAsia="仿宋_GB2312" w:hAnsi="Times New Roman" w:cs="Times New Roman"/>
          <w:b/>
          <w:sz w:val="28"/>
          <w:szCs w:val="28"/>
        </w:rPr>
      </w:pPr>
      <w:r>
        <w:rPr>
          <w:rFonts w:ascii="仿宋_GB2312" w:eastAsia="仿宋_GB2312" w:hAnsi="Times New Roman" w:cs="Times New Roman" w:hint="eastAsia"/>
          <w:b/>
          <w:sz w:val="28"/>
          <w:szCs w:val="28"/>
        </w:rPr>
        <w:t>三、标准编制原则、主要内容及确定依据</w:t>
      </w:r>
    </w:p>
    <w:p w14:paraId="59CF4065" w14:textId="77777777" w:rsidR="00D20B7D" w:rsidRDefault="00000000">
      <w:pPr>
        <w:spacing w:beforeLines="50" w:before="156" w:afterLines="50" w:after="156"/>
        <w:ind w:firstLineChars="150" w:firstLine="422"/>
        <w:outlineLvl w:val="0"/>
        <w:rPr>
          <w:rFonts w:ascii="楷体" w:eastAsia="楷体" w:hAnsi="楷体" w:cs="Times New Roman"/>
          <w:b/>
          <w:sz w:val="28"/>
          <w:szCs w:val="28"/>
        </w:rPr>
      </w:pPr>
      <w:r>
        <w:rPr>
          <w:rFonts w:ascii="楷体" w:eastAsia="楷体" w:hAnsi="楷体" w:cs="Times New Roman" w:hint="eastAsia"/>
          <w:b/>
          <w:sz w:val="28"/>
          <w:szCs w:val="28"/>
        </w:rPr>
        <w:t>（一）标准编制原则</w:t>
      </w:r>
    </w:p>
    <w:p w14:paraId="7EE64E23" w14:textId="77777777" w:rsidR="00D20B7D" w:rsidRDefault="00000000">
      <w:pPr>
        <w:ind w:left="1"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（1）遵循国家有关政策、方针、法规和规章；</w:t>
      </w:r>
    </w:p>
    <w:p w14:paraId="645080AF" w14:textId="77777777" w:rsidR="00D20B7D" w:rsidRDefault="00000000">
      <w:pPr>
        <w:ind w:left="1"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（2）标准格式严格按照GB/T 1.1的要求进行编写；</w:t>
      </w:r>
    </w:p>
    <w:p w14:paraId="7F65B008" w14:textId="77777777" w:rsidR="00D20B7D" w:rsidRDefault="00000000">
      <w:pPr>
        <w:ind w:left="1"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3）注重标准的适用性。以国家现行法律法规和卫生健康行业管理规定为基本边界，不创设新的数据处理权利或豁免条件；与网络安全等级保护、数据分类分级、健康医疗数据安全、个人信息保护和密码应用等相关标准相衔接；</w:t>
      </w:r>
    </w:p>
    <w:p w14:paraId="7B1F29C6" w14:textId="77777777" w:rsidR="00D20B7D" w:rsidRDefault="00000000">
      <w:pPr>
        <w:ind w:left="1"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（4）注重标准的科学性和可操作性。</w:t>
      </w:r>
    </w:p>
    <w:p w14:paraId="75928F55" w14:textId="77777777" w:rsidR="00D20B7D" w:rsidRDefault="00000000">
      <w:pPr>
        <w:spacing w:beforeLines="50" w:before="156" w:afterLines="50" w:after="156"/>
        <w:ind w:firstLineChars="150" w:firstLine="422"/>
        <w:outlineLvl w:val="0"/>
        <w:rPr>
          <w:rFonts w:ascii="楷体" w:eastAsia="楷体" w:hAnsi="楷体" w:cs="Times New Roman"/>
          <w:b/>
          <w:sz w:val="28"/>
          <w:szCs w:val="28"/>
        </w:rPr>
      </w:pPr>
      <w:r>
        <w:rPr>
          <w:rFonts w:ascii="楷体" w:eastAsia="楷体" w:hAnsi="楷体" w:cs="Times New Roman" w:hint="eastAsia"/>
          <w:b/>
          <w:sz w:val="28"/>
          <w:szCs w:val="28"/>
        </w:rPr>
        <w:t>（二）标准主要内容及确定依据</w:t>
      </w:r>
    </w:p>
    <w:p w14:paraId="12919A35" w14:textId="6A726A74"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sidR="004778E7">
        <w:rPr>
          <w:rFonts w:ascii="Times New Roman" w:eastAsia="仿宋_GB2312" w:hAnsi="Times New Roman" w:cs="Times New Roman" w:hint="eastAsia"/>
          <w:sz w:val="28"/>
          <w:szCs w:val="28"/>
        </w:rPr>
        <w:t>跨信任域医疗健康数据共享与流通技术实施指南</w:t>
      </w:r>
      <w:r>
        <w:rPr>
          <w:rFonts w:ascii="Times New Roman" w:eastAsia="仿宋_GB2312" w:hAnsi="Times New Roman" w:cs="Times New Roman" w:hint="eastAsia"/>
          <w:sz w:val="28"/>
          <w:szCs w:val="28"/>
        </w:rPr>
        <w:t>》标准正文共</w:t>
      </w:r>
      <w:r>
        <w:rPr>
          <w:rFonts w:ascii="Times New Roman" w:eastAsia="仿宋_GB2312" w:hAnsi="Times New Roman" w:cs="Times New Roman" w:hint="eastAsia"/>
          <w:sz w:val="28"/>
          <w:szCs w:val="28"/>
        </w:rPr>
        <w:t>9</w:t>
      </w:r>
      <w:r>
        <w:rPr>
          <w:rFonts w:ascii="Times New Roman" w:eastAsia="仿宋_GB2312" w:hAnsi="Times New Roman" w:cs="Times New Roman" w:hint="eastAsia"/>
          <w:sz w:val="28"/>
          <w:szCs w:val="28"/>
        </w:rPr>
        <w:t>章，主要包括范围、规范性引用文件、术语和定义、安全目标、流通与共享数据管理、技术要求、安全保障、安全管理和附则，并设置团体标准先进性评价表、应用场景等附录。各部分主要内容及确定依据如下。</w:t>
      </w:r>
    </w:p>
    <w:p w14:paraId="76D58D23"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、范围</w:t>
      </w:r>
    </w:p>
    <w:p w14:paraId="79946628"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lastRenderedPageBreak/>
        <w:t>本标准规定了健康医疗信息在跨网数据交换相关应用场景的安全技术要求。</w:t>
      </w:r>
    </w:p>
    <w:p w14:paraId="4D2002D8"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、规范性引用文件</w:t>
      </w:r>
    </w:p>
    <w:p w14:paraId="6019EB1D"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部分引用和衔接网络安全、数据安全、个人信息保护、网络数据处理、等级保护、数据安全能力成熟度、健康医疗数据安全、个人信息去标识化、数据分类分级、敏感个人信息处理、数据安全风险评估、个人信息保护合规审计、数据交易服务安全、商用密码、区块链和隐私计算等相关法律法规及标准。引用文件的选择遵循“与条款直接相关、现行有效、避免重复”的原则，具体如下：</w:t>
      </w:r>
    </w:p>
    <w:p w14:paraId="40E14C78"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《中华人民共和国数据安全法》</w:t>
      </w:r>
    </w:p>
    <w:p w14:paraId="01557908"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《中华人民共和国个人信息保护法》</w:t>
      </w:r>
    </w:p>
    <w:p w14:paraId="43BFB30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《中华人民共和国网络安全法》</w:t>
      </w:r>
    </w:p>
    <w:p w14:paraId="7006944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《中华人民共和国保险法》</w:t>
      </w:r>
    </w:p>
    <w:p w14:paraId="23855C84"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《网络数据安全管理条例》</w:t>
      </w:r>
    </w:p>
    <w:p w14:paraId="765A2618"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GB/T 22239-2019 </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网络安全等级保护基本要求</w:t>
      </w:r>
      <w:r>
        <w:rPr>
          <w:rFonts w:ascii="Times New Roman" w:eastAsia="仿宋_GB2312" w:hAnsi="Times New Roman" w:cs="Times New Roman" w:hint="eastAsia"/>
          <w:sz w:val="28"/>
          <w:szCs w:val="28"/>
        </w:rPr>
        <w:t xml:space="preserve"> </w:t>
      </w:r>
    </w:p>
    <w:p w14:paraId="6E2EF77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GB/T 37988-2019 </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数据安全能力成熟度模型</w:t>
      </w:r>
    </w:p>
    <w:p w14:paraId="4E2BA51C"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GB/T 22240-2020 </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网络安全等级保护定级指南</w:t>
      </w:r>
      <w:r>
        <w:rPr>
          <w:rFonts w:ascii="Times New Roman" w:eastAsia="仿宋_GB2312" w:hAnsi="Times New Roman" w:cs="Times New Roman" w:hint="eastAsia"/>
          <w:sz w:val="28"/>
          <w:szCs w:val="28"/>
        </w:rPr>
        <w:t xml:space="preserve"> </w:t>
      </w:r>
    </w:p>
    <w:p w14:paraId="01EDC8DF"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GB/T 35273-2020 </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个人信息安全规范</w:t>
      </w:r>
      <w:r>
        <w:rPr>
          <w:rFonts w:ascii="Times New Roman" w:eastAsia="仿宋_GB2312" w:hAnsi="Times New Roman" w:cs="Times New Roman" w:hint="eastAsia"/>
          <w:sz w:val="28"/>
          <w:szCs w:val="28"/>
        </w:rPr>
        <w:t xml:space="preserve"> </w:t>
      </w:r>
    </w:p>
    <w:p w14:paraId="356FA819"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GB/T 39725-2020 </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健康医疗数据安全指南</w:t>
      </w:r>
    </w:p>
    <w:p w14:paraId="0261CDCA"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GB/T 41479</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2022 </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网络数据处理安全要求</w:t>
      </w:r>
    </w:p>
    <w:p w14:paraId="6D6E456C"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GB/T 42460</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2023 </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个人信息去标识化效果评估指南</w:t>
      </w:r>
      <w:r>
        <w:rPr>
          <w:rFonts w:ascii="Times New Roman" w:eastAsia="仿宋_GB2312" w:hAnsi="Times New Roman" w:cs="Times New Roman" w:hint="eastAsia"/>
          <w:sz w:val="28"/>
          <w:szCs w:val="28"/>
        </w:rPr>
        <w:t xml:space="preserve"> </w:t>
      </w:r>
    </w:p>
    <w:p w14:paraId="660D5774"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lastRenderedPageBreak/>
        <w:t>GB/T 43697</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2024 </w:t>
      </w:r>
      <w:r>
        <w:rPr>
          <w:rFonts w:ascii="Times New Roman" w:eastAsia="仿宋_GB2312" w:hAnsi="Times New Roman" w:cs="Times New Roman" w:hint="eastAsia"/>
          <w:sz w:val="28"/>
          <w:szCs w:val="28"/>
        </w:rPr>
        <w:t>数据安全技术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数据分类分级规则</w:t>
      </w:r>
    </w:p>
    <w:p w14:paraId="542771E7"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GB/T 45574</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2025 </w:t>
      </w:r>
      <w:r>
        <w:rPr>
          <w:rFonts w:ascii="Times New Roman" w:eastAsia="仿宋_GB2312" w:hAnsi="Times New Roman" w:cs="Times New Roman" w:hint="eastAsia"/>
          <w:sz w:val="28"/>
          <w:szCs w:val="28"/>
        </w:rPr>
        <w:t>数据安全技术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敏感个人信息处理安全要求</w:t>
      </w:r>
    </w:p>
    <w:p w14:paraId="57F71C40"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GB/T 45577</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2025 </w:t>
      </w:r>
      <w:r>
        <w:rPr>
          <w:rFonts w:ascii="Times New Roman" w:eastAsia="仿宋_GB2312" w:hAnsi="Times New Roman" w:cs="Times New Roman" w:hint="eastAsia"/>
          <w:sz w:val="28"/>
          <w:szCs w:val="28"/>
        </w:rPr>
        <w:t>数据安全技术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数据安全风险评估方法</w:t>
      </w:r>
    </w:p>
    <w:p w14:paraId="7549A548"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GB/T 46903</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2025 </w:t>
      </w:r>
      <w:r>
        <w:rPr>
          <w:rFonts w:ascii="Times New Roman" w:eastAsia="仿宋_GB2312" w:hAnsi="Times New Roman" w:cs="Times New Roman" w:hint="eastAsia"/>
          <w:sz w:val="28"/>
          <w:szCs w:val="28"/>
        </w:rPr>
        <w:t>数据安全技术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个人信息保护合规审计要求</w:t>
      </w:r>
    </w:p>
    <w:p w14:paraId="253D5A9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GB/T 37932</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2025 </w:t>
      </w:r>
      <w:r>
        <w:rPr>
          <w:rFonts w:ascii="Times New Roman" w:eastAsia="仿宋_GB2312" w:hAnsi="Times New Roman" w:cs="Times New Roman" w:hint="eastAsia"/>
          <w:sz w:val="28"/>
          <w:szCs w:val="28"/>
        </w:rPr>
        <w:t>数据安全技术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数据交易服务安全要求</w:t>
      </w:r>
    </w:p>
    <w:p w14:paraId="1A5B568D"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GM/T 0111</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2021 </w:t>
      </w:r>
      <w:r>
        <w:rPr>
          <w:rFonts w:ascii="Times New Roman" w:eastAsia="仿宋_GB2312" w:hAnsi="Times New Roman" w:cs="Times New Roman" w:hint="eastAsia"/>
          <w:sz w:val="28"/>
          <w:szCs w:val="28"/>
        </w:rPr>
        <w:t>区块链密码应用技术要求</w:t>
      </w:r>
    </w:p>
    <w:p w14:paraId="0393B41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T/GDNS 002</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2023 </w:t>
      </w:r>
      <w:r>
        <w:rPr>
          <w:rFonts w:ascii="Times New Roman" w:eastAsia="仿宋_GB2312" w:hAnsi="Times New Roman" w:cs="Times New Roman" w:hint="eastAsia"/>
          <w:sz w:val="28"/>
          <w:szCs w:val="28"/>
        </w:rPr>
        <w:t>健康医疗数据合规流通标准</w:t>
      </w:r>
    </w:p>
    <w:p w14:paraId="2FDBC115"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GM/T 0135</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2024 </w:t>
      </w:r>
      <w:r>
        <w:rPr>
          <w:rFonts w:ascii="Times New Roman" w:eastAsia="仿宋_GB2312" w:hAnsi="Times New Roman" w:cs="Times New Roman" w:hint="eastAsia"/>
          <w:sz w:val="28"/>
          <w:szCs w:val="28"/>
        </w:rPr>
        <w:t>多方安全计算</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技术框架</w:t>
      </w:r>
    </w:p>
    <w:p w14:paraId="4D9FFC9C"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YD/T 4690</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2024 </w:t>
      </w:r>
      <w:r>
        <w:rPr>
          <w:rFonts w:ascii="Times New Roman" w:eastAsia="仿宋_GB2312" w:hAnsi="Times New Roman" w:cs="Times New Roman" w:hint="eastAsia"/>
          <w:sz w:val="28"/>
          <w:szCs w:val="28"/>
        </w:rPr>
        <w:t>隐私计算</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多方安全计算产品安全要求和测试方法</w:t>
      </w:r>
    </w:p>
    <w:p w14:paraId="333DBF34"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YD/T 6420</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2025 </w:t>
      </w:r>
      <w:r>
        <w:rPr>
          <w:rFonts w:ascii="Times New Roman" w:eastAsia="仿宋_GB2312" w:hAnsi="Times New Roman" w:cs="Times New Roman" w:hint="eastAsia"/>
          <w:sz w:val="28"/>
          <w:szCs w:val="28"/>
        </w:rPr>
        <w:t>隐私计算</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技术应用合规指南</w:t>
      </w:r>
    </w:p>
    <w:p w14:paraId="28F514A6"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YD/T 6659</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2026 </w:t>
      </w:r>
      <w:r>
        <w:rPr>
          <w:rFonts w:ascii="Times New Roman" w:eastAsia="仿宋_GB2312" w:hAnsi="Times New Roman" w:cs="Times New Roman" w:hint="eastAsia"/>
          <w:sz w:val="28"/>
          <w:szCs w:val="28"/>
        </w:rPr>
        <w:t>基于差分隐私的用户个人信息保护技术要求</w:t>
      </w:r>
    </w:p>
    <w:p w14:paraId="6352E684"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ISO/IEC 18033-6:2019 IT</w:t>
      </w:r>
      <w:r>
        <w:rPr>
          <w:rFonts w:ascii="Times New Roman" w:eastAsia="仿宋_GB2312" w:hAnsi="Times New Roman" w:cs="Times New Roman" w:hint="eastAsia"/>
          <w:sz w:val="28"/>
          <w:szCs w:val="28"/>
        </w:rPr>
        <w:t>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加密算法</w:t>
      </w:r>
    </w:p>
    <w:p w14:paraId="66769657"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、术语和定义</w:t>
      </w:r>
    </w:p>
    <w:p w14:paraId="6E728362"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本部分在</w:t>
      </w:r>
      <w:r>
        <w:rPr>
          <w:rFonts w:ascii="Times New Roman" w:eastAsia="仿宋_GB2312" w:hAnsi="Times New Roman" w:cs="Times New Roman" w:hint="eastAsia"/>
          <w:sz w:val="28"/>
          <w:szCs w:val="28"/>
        </w:rPr>
        <w:t>GB/T 39725</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2020</w:t>
      </w:r>
      <w:r>
        <w:rPr>
          <w:rFonts w:ascii="Times New Roman" w:eastAsia="仿宋_GB2312" w:hAnsi="Times New Roman" w:cs="Times New Roman" w:hint="eastAsia"/>
          <w:sz w:val="28"/>
          <w:szCs w:val="28"/>
        </w:rPr>
        <w:t>有关个人健康医疗数据和健康医疗数据定义基础上，结合跨域场景定义“信任域”“健康医疗数据控制者”“跨信任域流通”和“数据共享”。其中，“信任域”强调由共同法律规则、管理制度、技术措施或信任协议约束的数据管理范围，可跨越网络、机构、部门和地域边界；“健康医疗数据控制者”用于明确决定处理目的、方式和范围的责任主体。上述定义为确定授权边界、责任传递和安全控制提供基础。</w:t>
      </w:r>
    </w:p>
    <w:p w14:paraId="51269F6A"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、安全目标</w:t>
      </w:r>
    </w:p>
    <w:p w14:paraId="6836B06F"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lastRenderedPageBreak/>
        <w:t>本部分提出合法性、安全性、知情同意、最小必要、可追溯和隐私保护六项目标。六项目标分别对应数据处理合法基础、保密完整可用、个人权益保障、目的和范围控制、责任审计以及隐私风险降低等核心要求。对于法律法规规定无需取得个人同意或者存在其他合法处理基础的情形，依照相应法律规定执行；知情同意不得替代数据分类分级、访问控制和安全保障义务。</w:t>
      </w:r>
    </w:p>
    <w:p w14:paraId="628B95CC" w14:textId="77777777" w:rsidR="00D20B7D" w:rsidRDefault="00000000">
      <w:pPr>
        <w:ind w:firstLineChars="150" w:firstLine="420"/>
        <w:outlineLvl w:val="0"/>
        <w:rPr>
          <w:rFonts w:ascii="Times New Roman" w:eastAsia="仿宋_GB2312" w:hAnsi="Times New Roman" w:cs="Times New Roman"/>
          <w:sz w:val="30"/>
          <w:szCs w:val="30"/>
        </w:rPr>
      </w:pPr>
      <w:r>
        <w:rPr>
          <w:rFonts w:ascii="Times New Roman" w:eastAsia="仿宋_GB2312" w:hAnsi="Times New Roman" w:cs="Times New Roman" w:hint="eastAsia"/>
          <w:sz w:val="28"/>
          <w:szCs w:val="28"/>
        </w:rPr>
        <w:t>5</w:t>
      </w:r>
      <w:r>
        <w:rPr>
          <w:rFonts w:ascii="Times New Roman" w:eastAsia="仿宋_GB2312" w:hAnsi="Times New Roman" w:cs="Times New Roman" w:hint="eastAsia"/>
          <w:sz w:val="28"/>
          <w:szCs w:val="28"/>
        </w:rPr>
        <w:t>、安全管理</w:t>
      </w:r>
    </w:p>
    <w:p w14:paraId="5843B60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部分明确监督管理机构、健康医疗数据控制者及其数据跨域流通与共享安全管理部门的职责，要求建立组织保障、制度流程、人员职责、日常检查、风险评估、问题整改和事件处置机制。同时设置监督检查和投诉举报要求，用于形成内部治理、外部监督和个人权益救济相结合的管理体系。</w:t>
      </w:r>
    </w:p>
    <w:p w14:paraId="08DF4A6D"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、技术要求</w:t>
      </w:r>
    </w:p>
    <w:p w14:paraId="7936FCA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部分规定数据传输、数据存储、数据接口、数据标识与溯源、互操作性、隐私保护计算和区块链等方面的实施要求。传输环节强调采用安全协议、链路与端口审批、加密、校验和断点续传；存储环节强调安全存储、分类分区、加密、密钥分离、冗余备份与恢复；接口环节强调统一规范、身份校验、兼容扩展和安全调用；标识与溯源强调通过日志、数字水印、唯一标识或可信存证记录数据来源、流向和使用情况；互操作性强调采用标准化数据格式和接口规范，并通过测试验证系统间稳定协同。</w:t>
      </w:r>
    </w:p>
    <w:p w14:paraId="4D4539FB"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隐私保护计算部分分别说明差分隐私、同态加密和多方安全计算</w:t>
      </w:r>
      <w:r>
        <w:rPr>
          <w:rFonts w:ascii="Times New Roman" w:eastAsia="仿宋_GB2312" w:hAnsi="Times New Roman" w:cs="Times New Roman" w:hint="eastAsia"/>
          <w:sz w:val="28"/>
          <w:szCs w:val="28"/>
        </w:rPr>
        <w:lastRenderedPageBreak/>
        <w:t>的适用特点、实施成本和组合使用方式。该部分不将隐私计算等同于当然合规，也不免除合法性基础、目的限定、数据最小化、安全评估和个人权益保护义务。区块链部分主要用于存证、身份与授权记录以及多方协同，其应用应根据业务必要性、性能、密码合规、链上信息最小化和不可篡改带来的删除更正困难进行审慎选择。</w:t>
      </w:r>
    </w:p>
    <w:p w14:paraId="1ED1EF4E"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sz w:val="28"/>
          <w:szCs w:val="28"/>
        </w:rPr>
        <w:t>7</w:t>
      </w:r>
      <w:r>
        <w:rPr>
          <w:rFonts w:ascii="Times New Roman" w:eastAsia="仿宋_GB2312" w:hAnsi="Times New Roman" w:cs="Times New Roman" w:hint="eastAsia"/>
          <w:sz w:val="28"/>
          <w:szCs w:val="28"/>
        </w:rPr>
        <w:t>、附录</w:t>
      </w:r>
    </w:p>
    <w:p w14:paraId="343ED7C3"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附则对标准修订和实施作出原则性安排。附录</w:t>
      </w:r>
      <w:r>
        <w:rPr>
          <w:rFonts w:ascii="Times New Roman" w:eastAsia="仿宋_GB2312" w:hAnsi="Times New Roman" w:cs="Times New Roman" w:hint="eastAsia"/>
          <w:sz w:val="28"/>
          <w:szCs w:val="28"/>
        </w:rPr>
        <w:t>A</w:t>
      </w:r>
      <w:r>
        <w:rPr>
          <w:rFonts w:ascii="Times New Roman" w:eastAsia="仿宋_GB2312" w:hAnsi="Times New Roman" w:cs="Times New Roman" w:hint="eastAsia"/>
          <w:sz w:val="28"/>
          <w:szCs w:val="28"/>
        </w:rPr>
        <w:t>用于团体标准先进性评价材料归集；附录</w:t>
      </w:r>
      <w:r>
        <w:rPr>
          <w:rFonts w:ascii="Times New Roman" w:eastAsia="仿宋_GB2312" w:hAnsi="Times New Roman" w:cs="Times New Roman" w:hint="eastAsia"/>
          <w:sz w:val="28"/>
          <w:szCs w:val="28"/>
        </w:rPr>
        <w:t>B</w:t>
      </w:r>
      <w:r>
        <w:rPr>
          <w:rFonts w:ascii="Times New Roman" w:eastAsia="仿宋_GB2312" w:hAnsi="Times New Roman" w:cs="Times New Roman" w:hint="eastAsia"/>
          <w:sz w:val="28"/>
          <w:szCs w:val="28"/>
        </w:rPr>
        <w:t>列举临床医疗协同、模型训练、医学科研合作、公共卫生监测与管理、商业化应用等场景，说明标准条款如何映射到实际业务。应用场景仅用于解释和示范，不构成对任何主体获取、使用或交易医疗健康数据的授权，具体活动仍应具备相应法律依据、伦理审查、合同约定和安全保障条件。</w:t>
      </w:r>
    </w:p>
    <w:p w14:paraId="164B9BDA" w14:textId="77777777" w:rsidR="00D20B7D" w:rsidRDefault="00000000">
      <w:pPr>
        <w:ind w:firstLineChars="150" w:firstLine="420"/>
        <w:outlineLvl w:val="0"/>
        <w:rPr>
          <w:rFonts w:ascii="Times New Roman" w:eastAsia="仿宋_GB2312" w:hAnsi="Times New Roman" w:cs="Times New Roman"/>
          <w:sz w:val="28"/>
          <w:szCs w:val="28"/>
        </w:rPr>
      </w:pPr>
      <w:r>
        <w:rPr>
          <w:rFonts w:ascii="Times New Roman" w:eastAsia="仿宋_GB2312" w:hAnsi="Times New Roman" w:cs="Times New Roman"/>
          <w:sz w:val="28"/>
          <w:szCs w:val="28"/>
        </w:rPr>
        <w:t>8</w:t>
      </w:r>
      <w:r>
        <w:rPr>
          <w:rFonts w:ascii="Times New Roman" w:eastAsia="仿宋_GB2312" w:hAnsi="Times New Roman" w:cs="Times New Roman" w:hint="eastAsia"/>
          <w:sz w:val="28"/>
          <w:szCs w:val="28"/>
        </w:rPr>
        <w:t>、标准中关键的技术指标、标准内容等的制定依据</w:t>
      </w:r>
    </w:p>
    <w:p w14:paraId="599D7636" w14:textId="77777777" w:rsidR="00D20B7D" w:rsidRDefault="00000000">
      <w:pPr>
        <w:ind w:firstLineChars="150" w:firstLine="420"/>
        <w:outlineLvl w:val="1"/>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）关于数据分类分级。以</w:t>
      </w:r>
      <w:r>
        <w:rPr>
          <w:rFonts w:ascii="Times New Roman" w:eastAsia="仿宋_GB2312" w:hAnsi="Times New Roman" w:cs="Times New Roman" w:hint="eastAsia"/>
          <w:sz w:val="28"/>
          <w:szCs w:val="28"/>
        </w:rPr>
        <w:t>GB/T 43697</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2024</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GB/T 39725</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2020</w:t>
      </w:r>
      <w:r>
        <w:rPr>
          <w:rFonts w:ascii="Times New Roman" w:eastAsia="仿宋_GB2312" w:hAnsi="Times New Roman" w:cs="Times New Roman" w:hint="eastAsia"/>
          <w:sz w:val="28"/>
          <w:szCs w:val="28"/>
        </w:rPr>
        <w:t>的基本原则为依据，综合考虑数据对国家安全、公共利益、组织权益和个人权益的影响，以及数据规模、聚合程度和可识别性，确定差异化管理和技术措施。</w:t>
      </w:r>
    </w:p>
    <w:p w14:paraId="75EFC472" w14:textId="77777777" w:rsidR="00D20B7D" w:rsidRDefault="00000000">
      <w:pPr>
        <w:ind w:firstLineChars="150" w:firstLine="420"/>
        <w:outlineLvl w:val="1"/>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）关于最小必要与授权控制。依据个人信息保护的目的明确、最小范围和权限控制要求，将数据字段、主体范围、使用目的、访问次数、保存期限和再提供条件纳入授权管理，要求权限能够动态调整和撤销。</w:t>
      </w:r>
    </w:p>
    <w:p w14:paraId="0A55012B" w14:textId="77777777" w:rsidR="00D20B7D" w:rsidRDefault="00000000">
      <w:pPr>
        <w:ind w:firstLineChars="150" w:firstLine="420"/>
        <w:outlineLvl w:val="1"/>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）关于传输、存储和密码应用。依据等级保护、数据安全和密码</w:t>
      </w:r>
      <w:r>
        <w:rPr>
          <w:rFonts w:ascii="Times New Roman" w:eastAsia="仿宋_GB2312" w:hAnsi="Times New Roman" w:cs="Times New Roman" w:hint="eastAsia"/>
          <w:sz w:val="28"/>
          <w:szCs w:val="28"/>
        </w:rPr>
        <w:lastRenderedPageBreak/>
        <w:t>应用相关要求，采用安全传输协议、存储加密、密钥分离、备份恢复和完整性校验等措施；具体算法、密钥长度和密码产品应符合届时适用的国家密码管理规定和相关标准。</w:t>
      </w:r>
    </w:p>
    <w:p w14:paraId="01C0F2DB" w14:textId="77777777" w:rsidR="00D20B7D" w:rsidRDefault="00000000">
      <w:pPr>
        <w:ind w:firstLineChars="150" w:firstLine="420"/>
        <w:outlineLvl w:val="1"/>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4</w:t>
      </w:r>
      <w:r>
        <w:rPr>
          <w:rFonts w:ascii="Times New Roman" w:eastAsia="仿宋_GB2312" w:hAnsi="Times New Roman" w:cs="Times New Roman" w:hint="eastAsia"/>
          <w:sz w:val="28"/>
          <w:szCs w:val="28"/>
        </w:rPr>
        <w:t>）关于接口与互操作。考虑医疗机构信息系统异构、数据格式复杂和接口演进频繁的特点，提出标准化接口、兼容扩展和互操作性测试要求，并以</w:t>
      </w:r>
      <w:r>
        <w:rPr>
          <w:rFonts w:ascii="Times New Roman" w:eastAsia="仿宋_GB2312" w:hAnsi="Times New Roman" w:cs="Times New Roman" w:hint="eastAsia"/>
          <w:sz w:val="28"/>
          <w:szCs w:val="28"/>
        </w:rPr>
        <w:t>HL7 FHIR</w:t>
      </w:r>
      <w:r>
        <w:rPr>
          <w:rFonts w:ascii="Times New Roman" w:eastAsia="仿宋_GB2312" w:hAnsi="Times New Roman" w:cs="Times New Roman" w:hint="eastAsia"/>
          <w:sz w:val="28"/>
          <w:szCs w:val="28"/>
        </w:rPr>
        <w:t>等作为可选实现示例，避免将特定协议设为唯一实现。</w:t>
      </w:r>
    </w:p>
    <w:p w14:paraId="74EAC1DB" w14:textId="77777777" w:rsidR="00D20B7D" w:rsidRDefault="00000000">
      <w:pPr>
        <w:ind w:firstLineChars="150" w:firstLine="420"/>
        <w:outlineLvl w:val="1"/>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5</w:t>
      </w:r>
      <w:r>
        <w:rPr>
          <w:rFonts w:ascii="Times New Roman" w:eastAsia="仿宋_GB2312" w:hAnsi="Times New Roman" w:cs="Times New Roman" w:hint="eastAsia"/>
          <w:sz w:val="28"/>
          <w:szCs w:val="28"/>
        </w:rPr>
        <w:t>）关于隐私保护。以去标识化作为降低直接识别风险的优先措施，并依据</w:t>
      </w:r>
      <w:r>
        <w:rPr>
          <w:rFonts w:ascii="Times New Roman" w:eastAsia="仿宋_GB2312" w:hAnsi="Times New Roman" w:cs="Times New Roman" w:hint="eastAsia"/>
          <w:sz w:val="28"/>
          <w:szCs w:val="28"/>
        </w:rPr>
        <w:t>GB/T 42460</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2023</w:t>
      </w:r>
      <w:r>
        <w:rPr>
          <w:rFonts w:ascii="Times New Roman" w:eastAsia="仿宋_GB2312" w:hAnsi="Times New Roman" w:cs="Times New Roman" w:hint="eastAsia"/>
          <w:sz w:val="28"/>
          <w:szCs w:val="28"/>
        </w:rPr>
        <w:t>评估去标识化效果；对于多方联合分析和模型训练等场景，允许结合差分隐私、同态加密和多方安全计算实现“可用不可见”，但要求评估隐私预算、计算开销、密文膨胀、通信成本、串谋风险和结果泄露风险。</w:t>
      </w:r>
    </w:p>
    <w:p w14:paraId="56F16F54" w14:textId="77777777" w:rsidR="00D20B7D" w:rsidRDefault="00000000">
      <w:pPr>
        <w:ind w:firstLineChars="150" w:firstLine="420"/>
        <w:outlineLvl w:val="1"/>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）关于可追溯和审计。通过统一日志、数据标识、数字水印或可信存证记录数据来源、授权依据、传输路径、访问主体、操作行为和处置结果，确保发生安全事件、投诉或争议时能够还原过程并确定责任。</w:t>
      </w:r>
    </w:p>
    <w:p w14:paraId="755D6823" w14:textId="77777777" w:rsidR="00D20B7D" w:rsidRDefault="00000000">
      <w:pPr>
        <w:ind w:firstLineChars="150" w:firstLine="420"/>
        <w:outlineLvl w:val="1"/>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7</w:t>
      </w:r>
      <w:r>
        <w:rPr>
          <w:rFonts w:ascii="Times New Roman" w:eastAsia="仿宋_GB2312" w:hAnsi="Times New Roman" w:cs="Times New Roman" w:hint="eastAsia"/>
          <w:sz w:val="28"/>
          <w:szCs w:val="28"/>
        </w:rPr>
        <w:t>）关于指标量化。本标准定位为跨信任域流通与共享的技术实施和管理指引，医疗机构规模、系统架构、数据级别和业务连续性要求差异较大，因此不对所有场景统一规定日志保存期限、恢复时间目标、恢复点目标、带宽、并发量等单一数值。实施单位应依据法律法规、数据分类分级、等级保护、密码应用、合同协议和风险评估结果确定具体参数，并形成可验证的技术指标。</w:t>
      </w:r>
    </w:p>
    <w:p w14:paraId="110E3ED1" w14:textId="77777777" w:rsidR="00D20B7D" w:rsidRDefault="00000000">
      <w:pPr>
        <w:spacing w:beforeLines="50" w:before="156" w:afterLines="50" w:after="156"/>
        <w:rPr>
          <w:rFonts w:ascii="黑体" w:eastAsia="黑体" w:hAnsi="黑体" w:cs="Times New Roman"/>
          <w:b/>
          <w:sz w:val="28"/>
          <w:szCs w:val="28"/>
        </w:rPr>
      </w:pPr>
      <w:r>
        <w:rPr>
          <w:rFonts w:ascii="黑体" w:eastAsia="黑体" w:hAnsi="黑体" w:cs="Times New Roman" w:hint="eastAsia"/>
          <w:b/>
          <w:sz w:val="28"/>
          <w:szCs w:val="28"/>
        </w:rPr>
        <w:lastRenderedPageBreak/>
        <w:t>四、与国内外法律、法规和标准相关情况的说明</w:t>
      </w:r>
    </w:p>
    <w:p w14:paraId="363D6FFE"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（一）与国内法律法规和政策的关系</w:t>
      </w:r>
    </w:p>
    <w:p w14:paraId="43DC62D5"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标准以《中华人民共和国网络安全法》《中华人民共和国数据安全法》《中华人民共和国个人信息保护法》《中华人民共和国基本医疗卫生与健康促进法》《中华人民共和国密码法》《中华人民共和国保险法》以及《网络数据安全管理条例》等为主要法律法规依据，并与《医疗卫生机构网络安全管理办法》《“十四五”全民健康信息化规划》《关于构建数据基础制度更好发挥数据要素作用的意见》《“数据要素×”三年行动计划（</w:t>
      </w:r>
      <w:r>
        <w:rPr>
          <w:rFonts w:ascii="Times New Roman" w:eastAsia="仿宋_GB2312" w:hAnsi="Times New Roman" w:cs="Times New Roman" w:hint="eastAsia"/>
          <w:sz w:val="28"/>
          <w:szCs w:val="28"/>
        </w:rPr>
        <w:t>2024</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2026</w:t>
      </w:r>
      <w:r>
        <w:rPr>
          <w:rFonts w:ascii="Times New Roman" w:eastAsia="仿宋_GB2312" w:hAnsi="Times New Roman" w:cs="Times New Roman" w:hint="eastAsia"/>
          <w:sz w:val="28"/>
          <w:szCs w:val="28"/>
        </w:rPr>
        <w:t>年）》和《关于加快公共数据资源开发利用的意见》等政策要求相衔接。</w:t>
      </w:r>
    </w:p>
    <w:p w14:paraId="67862AE2"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标准不改变法定监管职责，不创设数据所有权、持有权、使用权或经营权，不以患者同意替代法律规定的其他义务，也不以技术措施替代伦理审查、个人信息保护影响评估、数据安全风险评估或数据出境法定程序。涉及公共卫生履职、医学科研、人工智能训练、商业保险和跨境处理时，应分别依据适用法律、行政法规、部门规章和行业管理要求确定合法基础和处理边界。</w:t>
      </w:r>
    </w:p>
    <w:p w14:paraId="21E7269D"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（二）与国内相关标准的关系</w:t>
      </w:r>
    </w:p>
    <w:p w14:paraId="653AC399"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本标准重点参考并衔接</w:t>
      </w:r>
      <w:r>
        <w:rPr>
          <w:rFonts w:ascii="Times New Roman" w:eastAsia="仿宋_GB2312" w:hAnsi="Times New Roman" w:cs="Times New Roman" w:hint="eastAsia"/>
          <w:sz w:val="28"/>
          <w:szCs w:val="28"/>
        </w:rPr>
        <w:t>GB/T 22239</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2019</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网络安全等级保护基本要求》、</w:t>
      </w:r>
      <w:r>
        <w:rPr>
          <w:rFonts w:ascii="Times New Roman" w:eastAsia="仿宋_GB2312" w:hAnsi="Times New Roman" w:cs="Times New Roman" w:hint="eastAsia"/>
          <w:sz w:val="28"/>
          <w:szCs w:val="28"/>
        </w:rPr>
        <w:t>GB/T 37988</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2019</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数据安全能力成熟度模型》、</w:t>
      </w:r>
      <w:r>
        <w:rPr>
          <w:rFonts w:ascii="Times New Roman" w:eastAsia="仿宋_GB2312" w:hAnsi="Times New Roman" w:cs="Times New Roman" w:hint="eastAsia"/>
          <w:sz w:val="28"/>
          <w:szCs w:val="28"/>
        </w:rPr>
        <w:t>GB/T 39725</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2020</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健康医疗数据安全指南》、</w:t>
      </w:r>
      <w:r>
        <w:rPr>
          <w:rFonts w:ascii="Times New Roman" w:eastAsia="仿宋_GB2312" w:hAnsi="Times New Roman" w:cs="Times New Roman" w:hint="eastAsia"/>
          <w:sz w:val="28"/>
          <w:szCs w:val="28"/>
        </w:rPr>
        <w:t>GB/T 41479</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2022</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网络数据处理安全要求》、</w:t>
      </w:r>
      <w:r>
        <w:rPr>
          <w:rFonts w:ascii="Times New Roman" w:eastAsia="仿宋_GB2312" w:hAnsi="Times New Roman" w:cs="Times New Roman" w:hint="eastAsia"/>
          <w:sz w:val="28"/>
          <w:szCs w:val="28"/>
        </w:rPr>
        <w:t>GB/T 42460</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2023</w:t>
      </w:r>
      <w:r>
        <w:rPr>
          <w:rFonts w:ascii="Times New Roman" w:eastAsia="仿宋_GB2312" w:hAnsi="Times New Roman" w:cs="Times New Roman" w:hint="eastAsia"/>
          <w:sz w:val="28"/>
          <w:szCs w:val="28"/>
        </w:rPr>
        <w:t>《信息安全技术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个人信息去标识化效果评</w:t>
      </w:r>
      <w:r>
        <w:rPr>
          <w:rFonts w:ascii="Times New Roman" w:eastAsia="仿宋_GB2312" w:hAnsi="Times New Roman" w:cs="Times New Roman" w:hint="eastAsia"/>
          <w:sz w:val="28"/>
          <w:szCs w:val="28"/>
        </w:rPr>
        <w:lastRenderedPageBreak/>
        <w:t>估指南》、</w:t>
      </w:r>
      <w:r>
        <w:rPr>
          <w:rFonts w:ascii="Times New Roman" w:eastAsia="仿宋_GB2312" w:hAnsi="Times New Roman" w:cs="Times New Roman" w:hint="eastAsia"/>
          <w:sz w:val="28"/>
          <w:szCs w:val="28"/>
        </w:rPr>
        <w:t>GB/T 43697</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2024</w:t>
      </w:r>
      <w:r>
        <w:rPr>
          <w:rFonts w:ascii="Times New Roman" w:eastAsia="仿宋_GB2312" w:hAnsi="Times New Roman" w:cs="Times New Roman" w:hint="eastAsia"/>
          <w:sz w:val="28"/>
          <w:szCs w:val="28"/>
        </w:rPr>
        <w:t>《数据安全技术</w:t>
      </w: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数据分类分级规则》以及现行的敏感个人信息处理、数据安全风险评估、个人信息保护合规审计、数据交易服务安全、商用密码和隐私计算等相关标准。</w:t>
      </w:r>
    </w:p>
    <w:p w14:paraId="54CFC897"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上述标准分别解决网络与系统安全、数据安全能力、健康医疗数据安全、网络数据处理、分类分级和去标识化等问题。本标准不重复规定其通用技术细节，而是以跨信任域业务为主线，将相关要求组织为数据管理、技术控制、安全保障和组织管理的实施框架，补充不同责任主体之间的授权传递、接收方管理、互操作、跨域审计和责任追溯要求。因此，本标准与现有国家标准、行业标准总体协调，不存在替代强制性要求或降低安全保护水平的情形。</w:t>
      </w:r>
    </w:p>
    <w:p w14:paraId="2500F997"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（三）与国外及国际标准的关系</w:t>
      </w:r>
    </w:p>
    <w:p w14:paraId="7803AA27"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国际上，医疗健康信息安全和交换主要通过</w:t>
      </w:r>
      <w:r>
        <w:rPr>
          <w:rFonts w:ascii="Times New Roman" w:eastAsia="仿宋_GB2312" w:hAnsi="Times New Roman" w:cs="Times New Roman" w:hint="eastAsia"/>
          <w:sz w:val="28"/>
          <w:szCs w:val="28"/>
        </w:rPr>
        <w:t>ISO/IEC 27001</w:t>
      </w:r>
      <w:r>
        <w:rPr>
          <w:rFonts w:ascii="Times New Roman" w:eastAsia="仿宋_GB2312" w:hAnsi="Times New Roman" w:cs="Times New Roman" w:hint="eastAsia"/>
          <w:sz w:val="28"/>
          <w:szCs w:val="28"/>
        </w:rPr>
        <w:t>信息安全管理体系、</w:t>
      </w:r>
      <w:r>
        <w:rPr>
          <w:rFonts w:ascii="Times New Roman" w:eastAsia="仿宋_GB2312" w:hAnsi="Times New Roman" w:cs="Times New Roman" w:hint="eastAsia"/>
          <w:sz w:val="28"/>
          <w:szCs w:val="28"/>
        </w:rPr>
        <w:t>ISO 27799</w:t>
      </w:r>
      <w:r>
        <w:rPr>
          <w:rFonts w:ascii="Times New Roman" w:eastAsia="仿宋_GB2312" w:hAnsi="Times New Roman" w:cs="Times New Roman" w:hint="eastAsia"/>
          <w:sz w:val="28"/>
          <w:szCs w:val="28"/>
        </w:rPr>
        <w:t>健康信息安全管理、</w:t>
      </w:r>
      <w:r>
        <w:rPr>
          <w:rFonts w:ascii="Times New Roman" w:eastAsia="仿宋_GB2312" w:hAnsi="Times New Roman" w:cs="Times New Roman" w:hint="eastAsia"/>
          <w:sz w:val="28"/>
          <w:szCs w:val="28"/>
        </w:rPr>
        <w:t>ISO/IEC 27701</w:t>
      </w:r>
      <w:r>
        <w:rPr>
          <w:rFonts w:ascii="Times New Roman" w:eastAsia="仿宋_GB2312" w:hAnsi="Times New Roman" w:cs="Times New Roman" w:hint="eastAsia"/>
          <w:sz w:val="28"/>
          <w:szCs w:val="28"/>
        </w:rPr>
        <w:t>隐私信息管理、</w:t>
      </w:r>
      <w:r>
        <w:rPr>
          <w:rFonts w:ascii="Times New Roman" w:eastAsia="仿宋_GB2312" w:hAnsi="Times New Roman" w:cs="Times New Roman" w:hint="eastAsia"/>
          <w:sz w:val="28"/>
          <w:szCs w:val="28"/>
        </w:rPr>
        <w:t>ISO/IEC 18033</w:t>
      </w:r>
      <w:r>
        <w:rPr>
          <w:rFonts w:ascii="Times New Roman" w:eastAsia="仿宋_GB2312" w:hAnsi="Times New Roman" w:cs="Times New Roman" w:hint="eastAsia"/>
          <w:sz w:val="28"/>
          <w:szCs w:val="28"/>
        </w:rPr>
        <w:t>加密算法系列、</w:t>
      </w:r>
      <w:r>
        <w:rPr>
          <w:rFonts w:ascii="Times New Roman" w:eastAsia="仿宋_GB2312" w:hAnsi="Times New Roman" w:cs="Times New Roman" w:hint="eastAsia"/>
          <w:sz w:val="28"/>
          <w:szCs w:val="28"/>
        </w:rPr>
        <w:t>HL7</w:t>
      </w:r>
      <w:r>
        <w:rPr>
          <w:rFonts w:ascii="Times New Roman" w:eastAsia="仿宋_GB2312" w:hAnsi="Times New Roman" w:cs="Times New Roman" w:hint="eastAsia"/>
          <w:sz w:val="28"/>
          <w:szCs w:val="28"/>
        </w:rPr>
        <w:t>及</w:t>
      </w:r>
      <w:r>
        <w:rPr>
          <w:rFonts w:ascii="Times New Roman" w:eastAsia="仿宋_GB2312" w:hAnsi="Times New Roman" w:cs="Times New Roman" w:hint="eastAsia"/>
          <w:sz w:val="28"/>
          <w:szCs w:val="28"/>
        </w:rPr>
        <w:t>FHIR</w:t>
      </w:r>
      <w:r>
        <w:rPr>
          <w:rFonts w:ascii="Times New Roman" w:eastAsia="仿宋_GB2312" w:hAnsi="Times New Roman" w:cs="Times New Roman" w:hint="eastAsia"/>
          <w:sz w:val="28"/>
          <w:szCs w:val="28"/>
        </w:rPr>
        <w:t>互操作规范等形成通用管理和技术基础。部分国家和地区还通过健康信息隐私立法、数据保护影响评估、跨境传输规则和受控数据共享协议规范医疗数据流通。</w:t>
      </w:r>
    </w:p>
    <w:p w14:paraId="2EBE09B8" w14:textId="77777777" w:rsidR="00D20B7D" w:rsidRDefault="00000000">
      <w:pPr>
        <w:ind w:firstLineChars="200" w:firstLine="560"/>
        <w:outlineLvl w:val="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标准借鉴国际标准中基于风险的安全管理、最小权限、全程审计、隐私设计和互操作性理念，并结合我国数据安全、个人信息保护、商用密码和卫生健康行业管理制度进行本地化规定。本标准未等同采用或修改采用某一国际标准，也不以境外法规作为我国境内数据处理活动的直接合规依据。</w:t>
      </w:r>
    </w:p>
    <w:p w14:paraId="4B879AD4" w14:textId="77777777" w:rsidR="00D20B7D" w:rsidRDefault="00000000">
      <w:pPr>
        <w:pStyle w:val="1"/>
        <w:spacing w:beforeLines="50" w:before="156" w:afterLines="50" w:after="156" w:line="240" w:lineRule="auto"/>
      </w:pPr>
      <w:r>
        <w:rPr>
          <w:rFonts w:hint="eastAsia"/>
        </w:rPr>
        <w:lastRenderedPageBreak/>
        <w:t>五、其他需要说明的问题</w:t>
      </w:r>
    </w:p>
    <w:p w14:paraId="2C4B9FB1" w14:textId="77777777" w:rsidR="00D20B7D" w:rsidRDefault="00000000">
      <w:pPr>
        <w:spacing w:line="360" w:lineRule="auto"/>
        <w:ind w:firstLine="495"/>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本标准技术内容不涉及专利。</w:t>
      </w:r>
    </w:p>
    <w:p w14:paraId="6C3A199F" w14:textId="77777777" w:rsidR="00D20B7D" w:rsidRDefault="00000000">
      <w:pPr>
        <w:spacing w:line="360" w:lineRule="auto"/>
        <w:ind w:firstLine="495"/>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本标准技术内容是推荐性，并作为团体标准发布，本标准在发布后即开始实施。</w:t>
      </w:r>
    </w:p>
    <w:p w14:paraId="0BF5DE2E" w14:textId="77777777" w:rsidR="00D20B7D" w:rsidRDefault="00D20B7D"/>
    <w:p w14:paraId="72593019" w14:textId="77777777" w:rsidR="00D20B7D" w:rsidRDefault="00D20B7D"/>
    <w:p w14:paraId="6297216C" w14:textId="77777777" w:rsidR="00D20B7D" w:rsidRDefault="00D20B7D"/>
    <w:p w14:paraId="5AEA0D44" w14:textId="5EF2707D" w:rsidR="00D20B7D" w:rsidRDefault="00000000">
      <w:pPr>
        <w:widowControl/>
        <w:ind w:left="425" w:firstLine="200"/>
        <w:jc w:val="left"/>
        <w:rPr>
          <w:rFonts w:ascii="Times New Roman" w:eastAsia="仿宋_GB2312" w:hAnsi="Times New Roman" w:cs="Times New Roman"/>
          <w:sz w:val="28"/>
          <w:szCs w:val="28"/>
        </w:rPr>
      </w:pPr>
      <w:r>
        <w:rPr>
          <w:rFonts w:hint="eastAsia"/>
        </w:rPr>
        <w:t xml:space="preserve">   </w:t>
      </w:r>
      <w:r>
        <w:rPr>
          <w:rFonts w:ascii="Times New Roman" w:eastAsia="仿宋_GB2312" w:hAnsi="Times New Roman" w:cs="Times New Roman" w:hint="eastAsia"/>
          <w:sz w:val="28"/>
          <w:szCs w:val="28"/>
        </w:rPr>
        <w:t>《</w:t>
      </w:r>
      <w:r w:rsidR="004778E7">
        <w:rPr>
          <w:rFonts w:ascii="Times New Roman" w:eastAsia="仿宋_GB2312" w:hAnsi="Times New Roman" w:cs="Times New Roman" w:hint="eastAsia"/>
          <w:sz w:val="28"/>
          <w:szCs w:val="28"/>
        </w:rPr>
        <w:t>跨信任域医疗健康数据共享与流通技术实施指南</w:t>
      </w:r>
      <w:r>
        <w:rPr>
          <w:rFonts w:ascii="Times New Roman" w:eastAsia="仿宋_GB2312" w:hAnsi="Times New Roman" w:cs="Times New Roman" w:hint="eastAsia"/>
          <w:sz w:val="28"/>
          <w:szCs w:val="28"/>
        </w:rPr>
        <w:t>》编制组</w:t>
      </w:r>
    </w:p>
    <w:p w14:paraId="600BCC28" w14:textId="77777777" w:rsidR="00D20B7D" w:rsidRDefault="00000000">
      <w:pPr>
        <w:widowControl/>
        <w:ind w:left="425" w:firstLine="200"/>
        <w:jc w:val="left"/>
        <w:rPr>
          <w:rFonts w:ascii="Times New Roman" w:eastAsia="仿宋_GB2312" w:hAnsi="Times New Roman" w:cs="Times New Roman"/>
          <w:sz w:val="28"/>
          <w:szCs w:val="28"/>
        </w:rPr>
      </w:pPr>
      <w:r>
        <w:rPr>
          <w:rFonts w:hint="eastAsia"/>
        </w:rPr>
        <w:t xml:space="preserve">                                       </w:t>
      </w:r>
      <w:r>
        <w:rPr>
          <w:rFonts w:ascii="Times New Roman" w:eastAsia="仿宋_GB2312" w:hAnsi="Times New Roman" w:cs="Times New Roman" w:hint="eastAsia"/>
          <w:sz w:val="28"/>
          <w:szCs w:val="28"/>
        </w:rPr>
        <w:t xml:space="preserve">  2026</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7</w:t>
      </w:r>
      <w:r>
        <w:rPr>
          <w:rFonts w:ascii="Times New Roman" w:eastAsia="仿宋_GB2312" w:hAnsi="Times New Roman" w:cs="Times New Roman" w:hint="eastAsia"/>
          <w:sz w:val="28"/>
          <w:szCs w:val="28"/>
        </w:rPr>
        <w:t>月</w:t>
      </w:r>
    </w:p>
    <w:sectPr w:rsidR="00D20B7D">
      <w:footerReference w:type="first" r:id="rId9"/>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54DA" w14:textId="77777777" w:rsidR="003836C7" w:rsidRDefault="003836C7">
      <w:r>
        <w:separator/>
      </w:r>
    </w:p>
  </w:endnote>
  <w:endnote w:type="continuationSeparator" w:id="0">
    <w:p w14:paraId="4D84EA32" w14:textId="77777777" w:rsidR="003836C7" w:rsidRDefault="0038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embedRegular r:id="rId1" w:subsetted="1" w:fontKey="{956FEA47-ABC4-4E42-949F-3D0EF77F1F31}"/>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Bold r:id="rId2" w:subsetted="1" w:fontKey="{80D19E3F-4523-4083-91C0-4916F5078EC3}"/>
  </w:font>
  <w:font w:name="方正小标宋简体">
    <w:charset w:val="86"/>
    <w:family w:val="script"/>
    <w:pitch w:val="default"/>
    <w:sig w:usb0="00000001" w:usb1="08000000" w:usb2="00000000" w:usb3="00000000" w:csb0="00040000" w:csb1="00000000"/>
    <w:embedBold r:id="rId3" w:subsetted="1" w:fontKey="{8C759854-2571-4898-983A-D387DDE386FF}"/>
  </w:font>
  <w:font w:name="楷体">
    <w:altName w:val="汉仪楷体KW"/>
    <w:panose1 w:val="02010609060101010101"/>
    <w:charset w:val="86"/>
    <w:family w:val="modern"/>
    <w:pitch w:val="fixed"/>
    <w:sig w:usb0="800002BF" w:usb1="38CF7CFA" w:usb2="00000016" w:usb3="00000000" w:csb0="00040001" w:csb1="00000000"/>
    <w:embedBold r:id="rId4" w:subsetted="1" w:fontKey="{695CE20B-B10E-451A-94BC-A9FF0A7951A3}"/>
  </w:font>
  <w:font w:name="仿宋_GB2312">
    <w:altName w:val="微软雅黑"/>
    <w:charset w:val="00"/>
    <w:family w:val="modern"/>
    <w:pitch w:val="default"/>
    <w:sig w:usb0="00000000" w:usb1="00000000" w:usb2="00000000" w:usb3="00000000" w:csb0="00040000"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28E344F7" w14:textId="77777777" w:rsidR="00D20B7D" w:rsidRDefault="00000000">
        <w:pPr>
          <w:pStyle w:val="a9"/>
          <w:jc w:val="center"/>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3809" w14:textId="77777777" w:rsidR="00D20B7D" w:rsidRDefault="00D20B7D">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737690"/>
    </w:sdtPr>
    <w:sdtContent>
      <w:p w14:paraId="46105D26" w14:textId="77777777" w:rsidR="00D20B7D" w:rsidRDefault="00000000">
        <w:pPr>
          <w:pStyle w:val="a9"/>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E96E" w14:textId="77777777" w:rsidR="003836C7" w:rsidRDefault="003836C7">
      <w:r>
        <w:separator/>
      </w:r>
    </w:p>
  </w:footnote>
  <w:footnote w:type="continuationSeparator" w:id="0">
    <w:p w14:paraId="01C3D235" w14:textId="77777777" w:rsidR="003836C7" w:rsidRDefault="003836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EE2"/>
    <w:rsid w:val="00003F0E"/>
    <w:rsid w:val="00014363"/>
    <w:rsid w:val="000150B4"/>
    <w:rsid w:val="00053669"/>
    <w:rsid w:val="00054307"/>
    <w:rsid w:val="00061E91"/>
    <w:rsid w:val="000676D2"/>
    <w:rsid w:val="00090246"/>
    <w:rsid w:val="00096D4A"/>
    <w:rsid w:val="000A2D90"/>
    <w:rsid w:val="000B1C43"/>
    <w:rsid w:val="000C7AF8"/>
    <w:rsid w:val="000E6BCD"/>
    <w:rsid w:val="000E71F1"/>
    <w:rsid w:val="000F2E3B"/>
    <w:rsid w:val="001064D8"/>
    <w:rsid w:val="001068EE"/>
    <w:rsid w:val="001069C1"/>
    <w:rsid w:val="00111E94"/>
    <w:rsid w:val="0012390D"/>
    <w:rsid w:val="00123FA2"/>
    <w:rsid w:val="00154CF0"/>
    <w:rsid w:val="00157AAD"/>
    <w:rsid w:val="001710A7"/>
    <w:rsid w:val="00180206"/>
    <w:rsid w:val="00180814"/>
    <w:rsid w:val="00182DBF"/>
    <w:rsid w:val="001836B6"/>
    <w:rsid w:val="00197EE6"/>
    <w:rsid w:val="001A071B"/>
    <w:rsid w:val="001A2786"/>
    <w:rsid w:val="001B089D"/>
    <w:rsid w:val="001B58FE"/>
    <w:rsid w:val="001B5939"/>
    <w:rsid w:val="001C43FC"/>
    <w:rsid w:val="001D435F"/>
    <w:rsid w:val="001E4A66"/>
    <w:rsid w:val="001E51D4"/>
    <w:rsid w:val="001E5C6D"/>
    <w:rsid w:val="001F4197"/>
    <w:rsid w:val="001F692F"/>
    <w:rsid w:val="001F7254"/>
    <w:rsid w:val="00204A0D"/>
    <w:rsid w:val="00210933"/>
    <w:rsid w:val="00211EBC"/>
    <w:rsid w:val="002219DB"/>
    <w:rsid w:val="00231625"/>
    <w:rsid w:val="00231F14"/>
    <w:rsid w:val="002628DA"/>
    <w:rsid w:val="00270B1C"/>
    <w:rsid w:val="00284018"/>
    <w:rsid w:val="002957B2"/>
    <w:rsid w:val="002A4D74"/>
    <w:rsid w:val="002A58DA"/>
    <w:rsid w:val="002E0ADD"/>
    <w:rsid w:val="002E587A"/>
    <w:rsid w:val="00311EB6"/>
    <w:rsid w:val="003170A4"/>
    <w:rsid w:val="00323650"/>
    <w:rsid w:val="00355679"/>
    <w:rsid w:val="00357494"/>
    <w:rsid w:val="003641F6"/>
    <w:rsid w:val="00365488"/>
    <w:rsid w:val="00366268"/>
    <w:rsid w:val="00367D2C"/>
    <w:rsid w:val="00371714"/>
    <w:rsid w:val="003836C7"/>
    <w:rsid w:val="00384A13"/>
    <w:rsid w:val="00385565"/>
    <w:rsid w:val="00390B9D"/>
    <w:rsid w:val="0039434A"/>
    <w:rsid w:val="003B5E39"/>
    <w:rsid w:val="003C0CB8"/>
    <w:rsid w:val="003D2B31"/>
    <w:rsid w:val="004030FF"/>
    <w:rsid w:val="00403EF6"/>
    <w:rsid w:val="00405EE2"/>
    <w:rsid w:val="004206B0"/>
    <w:rsid w:val="00423368"/>
    <w:rsid w:val="00430779"/>
    <w:rsid w:val="00441359"/>
    <w:rsid w:val="0044419D"/>
    <w:rsid w:val="00450490"/>
    <w:rsid w:val="004601C6"/>
    <w:rsid w:val="00460B61"/>
    <w:rsid w:val="00462ACF"/>
    <w:rsid w:val="00463C6C"/>
    <w:rsid w:val="00464333"/>
    <w:rsid w:val="00467A18"/>
    <w:rsid w:val="004706FF"/>
    <w:rsid w:val="00473973"/>
    <w:rsid w:val="004778E7"/>
    <w:rsid w:val="00483E3A"/>
    <w:rsid w:val="00495657"/>
    <w:rsid w:val="004968D4"/>
    <w:rsid w:val="004B0BDB"/>
    <w:rsid w:val="004C4215"/>
    <w:rsid w:val="004E4A9B"/>
    <w:rsid w:val="0050206C"/>
    <w:rsid w:val="00504A85"/>
    <w:rsid w:val="005208EA"/>
    <w:rsid w:val="0052736E"/>
    <w:rsid w:val="005308D2"/>
    <w:rsid w:val="00537A70"/>
    <w:rsid w:val="00546026"/>
    <w:rsid w:val="00553F5B"/>
    <w:rsid w:val="00554054"/>
    <w:rsid w:val="00572824"/>
    <w:rsid w:val="0057799D"/>
    <w:rsid w:val="00582C74"/>
    <w:rsid w:val="0058651B"/>
    <w:rsid w:val="00590CCF"/>
    <w:rsid w:val="005932A3"/>
    <w:rsid w:val="00593741"/>
    <w:rsid w:val="00597A82"/>
    <w:rsid w:val="005A407E"/>
    <w:rsid w:val="005A76F3"/>
    <w:rsid w:val="005C6E8E"/>
    <w:rsid w:val="005E204D"/>
    <w:rsid w:val="005E5980"/>
    <w:rsid w:val="006275BD"/>
    <w:rsid w:val="00634E0F"/>
    <w:rsid w:val="00643C86"/>
    <w:rsid w:val="00653C21"/>
    <w:rsid w:val="00655EA7"/>
    <w:rsid w:val="00657095"/>
    <w:rsid w:val="006611D5"/>
    <w:rsid w:val="006673DE"/>
    <w:rsid w:val="00670E24"/>
    <w:rsid w:val="00680B43"/>
    <w:rsid w:val="006849E4"/>
    <w:rsid w:val="006A0D23"/>
    <w:rsid w:val="006A246E"/>
    <w:rsid w:val="006C5DEE"/>
    <w:rsid w:val="006F1804"/>
    <w:rsid w:val="006F2A8E"/>
    <w:rsid w:val="006F3446"/>
    <w:rsid w:val="006F3F2C"/>
    <w:rsid w:val="006F5C16"/>
    <w:rsid w:val="0070301A"/>
    <w:rsid w:val="00710B32"/>
    <w:rsid w:val="007228B3"/>
    <w:rsid w:val="007337C1"/>
    <w:rsid w:val="00742642"/>
    <w:rsid w:val="00745BD5"/>
    <w:rsid w:val="00751251"/>
    <w:rsid w:val="00752389"/>
    <w:rsid w:val="00754F9C"/>
    <w:rsid w:val="00755BDF"/>
    <w:rsid w:val="007746D7"/>
    <w:rsid w:val="0077623F"/>
    <w:rsid w:val="00780FD7"/>
    <w:rsid w:val="00791F4B"/>
    <w:rsid w:val="007A73DB"/>
    <w:rsid w:val="007C4BE7"/>
    <w:rsid w:val="007D7C5A"/>
    <w:rsid w:val="007E1A7A"/>
    <w:rsid w:val="007E2086"/>
    <w:rsid w:val="007E2D8D"/>
    <w:rsid w:val="007F1E84"/>
    <w:rsid w:val="0080495A"/>
    <w:rsid w:val="00804B48"/>
    <w:rsid w:val="00831B8F"/>
    <w:rsid w:val="008416C9"/>
    <w:rsid w:val="00850BD7"/>
    <w:rsid w:val="008564AC"/>
    <w:rsid w:val="008628C7"/>
    <w:rsid w:val="00864A21"/>
    <w:rsid w:val="0086676E"/>
    <w:rsid w:val="00870887"/>
    <w:rsid w:val="00893475"/>
    <w:rsid w:val="00894A34"/>
    <w:rsid w:val="008A5048"/>
    <w:rsid w:val="008B7902"/>
    <w:rsid w:val="008D4438"/>
    <w:rsid w:val="008D4AFF"/>
    <w:rsid w:val="008E1FC3"/>
    <w:rsid w:val="008E2AD1"/>
    <w:rsid w:val="008F2934"/>
    <w:rsid w:val="009010E1"/>
    <w:rsid w:val="00911E40"/>
    <w:rsid w:val="00913045"/>
    <w:rsid w:val="00914675"/>
    <w:rsid w:val="00926039"/>
    <w:rsid w:val="00944EF8"/>
    <w:rsid w:val="00946486"/>
    <w:rsid w:val="009475F5"/>
    <w:rsid w:val="0095323C"/>
    <w:rsid w:val="00982657"/>
    <w:rsid w:val="00992E45"/>
    <w:rsid w:val="009A688F"/>
    <w:rsid w:val="009B1049"/>
    <w:rsid w:val="009B3170"/>
    <w:rsid w:val="009B73F7"/>
    <w:rsid w:val="009C0060"/>
    <w:rsid w:val="009F34A1"/>
    <w:rsid w:val="00A012DA"/>
    <w:rsid w:val="00A0234A"/>
    <w:rsid w:val="00A21200"/>
    <w:rsid w:val="00A242C2"/>
    <w:rsid w:val="00A27413"/>
    <w:rsid w:val="00A32C1E"/>
    <w:rsid w:val="00A370B6"/>
    <w:rsid w:val="00A639B3"/>
    <w:rsid w:val="00A665E4"/>
    <w:rsid w:val="00AA05A2"/>
    <w:rsid w:val="00AC4881"/>
    <w:rsid w:val="00AD76D7"/>
    <w:rsid w:val="00AF33DF"/>
    <w:rsid w:val="00B032D2"/>
    <w:rsid w:val="00B06B3D"/>
    <w:rsid w:val="00B06CF4"/>
    <w:rsid w:val="00B10178"/>
    <w:rsid w:val="00B109C2"/>
    <w:rsid w:val="00B2675B"/>
    <w:rsid w:val="00B35DD5"/>
    <w:rsid w:val="00B37635"/>
    <w:rsid w:val="00B40648"/>
    <w:rsid w:val="00B4655A"/>
    <w:rsid w:val="00B468A7"/>
    <w:rsid w:val="00B57351"/>
    <w:rsid w:val="00B65557"/>
    <w:rsid w:val="00B71D87"/>
    <w:rsid w:val="00B74A72"/>
    <w:rsid w:val="00B805DD"/>
    <w:rsid w:val="00B84A2F"/>
    <w:rsid w:val="00B84A76"/>
    <w:rsid w:val="00B90639"/>
    <w:rsid w:val="00B912AC"/>
    <w:rsid w:val="00B93045"/>
    <w:rsid w:val="00BA348B"/>
    <w:rsid w:val="00BA75F2"/>
    <w:rsid w:val="00BC0A7F"/>
    <w:rsid w:val="00BD265D"/>
    <w:rsid w:val="00BE3756"/>
    <w:rsid w:val="00C1174A"/>
    <w:rsid w:val="00C35E0A"/>
    <w:rsid w:val="00C3732E"/>
    <w:rsid w:val="00C40289"/>
    <w:rsid w:val="00C5149D"/>
    <w:rsid w:val="00C63D1F"/>
    <w:rsid w:val="00C7400F"/>
    <w:rsid w:val="00C81E2A"/>
    <w:rsid w:val="00C94286"/>
    <w:rsid w:val="00CA009D"/>
    <w:rsid w:val="00CB00EE"/>
    <w:rsid w:val="00CB5621"/>
    <w:rsid w:val="00CB62E7"/>
    <w:rsid w:val="00CC0F12"/>
    <w:rsid w:val="00CC5265"/>
    <w:rsid w:val="00CC7E26"/>
    <w:rsid w:val="00CD6418"/>
    <w:rsid w:val="00CE7985"/>
    <w:rsid w:val="00D07F30"/>
    <w:rsid w:val="00D115CB"/>
    <w:rsid w:val="00D20B7D"/>
    <w:rsid w:val="00D27465"/>
    <w:rsid w:val="00D356B3"/>
    <w:rsid w:val="00D452A7"/>
    <w:rsid w:val="00D51AD5"/>
    <w:rsid w:val="00D63711"/>
    <w:rsid w:val="00D669A5"/>
    <w:rsid w:val="00D81211"/>
    <w:rsid w:val="00D92F43"/>
    <w:rsid w:val="00DA33A4"/>
    <w:rsid w:val="00DA40E8"/>
    <w:rsid w:val="00DB01D0"/>
    <w:rsid w:val="00DC0573"/>
    <w:rsid w:val="00DC0EA6"/>
    <w:rsid w:val="00DD2888"/>
    <w:rsid w:val="00DD3103"/>
    <w:rsid w:val="00DD3EF2"/>
    <w:rsid w:val="00DD76D9"/>
    <w:rsid w:val="00DF7CF5"/>
    <w:rsid w:val="00E02630"/>
    <w:rsid w:val="00E10133"/>
    <w:rsid w:val="00E15511"/>
    <w:rsid w:val="00E167CD"/>
    <w:rsid w:val="00E22385"/>
    <w:rsid w:val="00E33D5E"/>
    <w:rsid w:val="00E458EC"/>
    <w:rsid w:val="00E536C2"/>
    <w:rsid w:val="00E56D0D"/>
    <w:rsid w:val="00E724FB"/>
    <w:rsid w:val="00EA28C2"/>
    <w:rsid w:val="00EA3176"/>
    <w:rsid w:val="00EB1056"/>
    <w:rsid w:val="00EB1C3F"/>
    <w:rsid w:val="00EB490A"/>
    <w:rsid w:val="00EC3EB7"/>
    <w:rsid w:val="00EC4F64"/>
    <w:rsid w:val="00EC5B79"/>
    <w:rsid w:val="00EE5780"/>
    <w:rsid w:val="00EE7869"/>
    <w:rsid w:val="00EF0858"/>
    <w:rsid w:val="00F0213D"/>
    <w:rsid w:val="00F07EEB"/>
    <w:rsid w:val="00F07FDD"/>
    <w:rsid w:val="00F12853"/>
    <w:rsid w:val="00F20987"/>
    <w:rsid w:val="00F23172"/>
    <w:rsid w:val="00F80812"/>
    <w:rsid w:val="00F9337B"/>
    <w:rsid w:val="00F971A0"/>
    <w:rsid w:val="00FB454B"/>
    <w:rsid w:val="00FB5C42"/>
    <w:rsid w:val="00FE0D26"/>
    <w:rsid w:val="00FE1819"/>
    <w:rsid w:val="00FE363A"/>
    <w:rsid w:val="00FF3DE8"/>
    <w:rsid w:val="06E460DC"/>
    <w:rsid w:val="1BB6213C"/>
    <w:rsid w:val="37F732AD"/>
    <w:rsid w:val="5E3F3859"/>
    <w:rsid w:val="6DCD345E"/>
    <w:rsid w:val="AFFFD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6EBA1"/>
  <w15:docId w15:val="{63FBD337-EDC7-480D-8191-1F6FDF6C0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widowControl/>
      <w:spacing w:before="340" w:after="330" w:line="578" w:lineRule="auto"/>
      <w:jc w:val="left"/>
      <w:outlineLvl w:val="0"/>
    </w:pPr>
    <w:rPr>
      <w:rFonts w:ascii="Times New Roman" w:eastAsia="黑体" w:hAnsi="Times New Roman" w:cs="Times New Roman"/>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character" w:styleId="af">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日期 字符"/>
    <w:basedOn w:val="a0"/>
    <w:link w:val="a5"/>
    <w:uiPriority w:val="99"/>
    <w:semiHidden/>
    <w:qFormat/>
  </w:style>
  <w:style w:type="character" w:customStyle="1" w:styleId="10">
    <w:name w:val="标题 1 字符"/>
    <w:basedOn w:val="a0"/>
    <w:link w:val="1"/>
    <w:uiPriority w:val="9"/>
    <w:qFormat/>
    <w:rPr>
      <w:rFonts w:ascii="Times New Roman" w:eastAsia="黑体" w:hAnsi="Times New Roman" w:cs="Times New Roman"/>
      <w:b/>
      <w:bCs/>
      <w:kern w:val="44"/>
      <w:sz w:val="28"/>
      <w:szCs w:val="44"/>
    </w:rPr>
  </w:style>
  <w:style w:type="character" w:customStyle="1" w:styleId="a8">
    <w:name w:val="批注框文本 字符"/>
    <w:basedOn w:val="a0"/>
    <w:link w:val="a7"/>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638B20F-0BB8-4862-9C3D-6A87AA71F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1056</Words>
  <Characters>6025</Characters>
  <Application>Microsoft Office Word</Application>
  <DocSecurity>0</DocSecurity>
  <Lines>50</Lines>
  <Paragraphs>14</Paragraphs>
  <ScaleCrop>false</ScaleCrop>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生 付</cp:lastModifiedBy>
  <cp:revision>1193</cp:revision>
  <dcterms:created xsi:type="dcterms:W3CDTF">2020-07-16T10:26:00Z</dcterms:created>
  <dcterms:modified xsi:type="dcterms:W3CDTF">2026-06-26T02:26:00Z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ICV">
    <vt:lpwstr>CDA5B7C355DF4A5087200EDF25B9806D_13</vt:lpwstr>
  </property>
</Properties>
</file>